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C6E3E" w14:textId="3051FDC6" w:rsidR="00AC69E1" w:rsidRDefault="00AC69E1" w:rsidP="006007E3">
      <w:pPr>
        <w:jc w:val="right"/>
        <w:rPr>
          <w:rFonts w:ascii="Poppins" w:hAnsi="Poppins" w:cs="Poppins"/>
          <w:b/>
          <w:bCs/>
          <w:sz w:val="20"/>
          <w:szCs w:val="20"/>
        </w:rPr>
      </w:pPr>
      <w:r>
        <w:rPr>
          <w:rFonts w:ascii="Poppins" w:hAnsi="Poppins" w:cs="Poppins"/>
          <w:b/>
          <w:bCs/>
          <w:sz w:val="20"/>
          <w:szCs w:val="20"/>
        </w:rPr>
        <w:t xml:space="preserve">Warszawa, </w:t>
      </w:r>
      <w:r w:rsidR="006007E3">
        <w:rPr>
          <w:rFonts w:ascii="Poppins" w:hAnsi="Poppins" w:cs="Poppins"/>
          <w:b/>
          <w:bCs/>
          <w:sz w:val="20"/>
          <w:szCs w:val="20"/>
        </w:rPr>
        <w:t>30</w:t>
      </w:r>
      <w:r>
        <w:rPr>
          <w:rFonts w:ascii="Poppins" w:hAnsi="Poppins" w:cs="Poppins"/>
          <w:b/>
          <w:bCs/>
          <w:sz w:val="20"/>
          <w:szCs w:val="20"/>
        </w:rPr>
        <w:t>.</w:t>
      </w:r>
      <w:r w:rsidR="00F77E05">
        <w:rPr>
          <w:rFonts w:ascii="Poppins" w:hAnsi="Poppins" w:cs="Poppins"/>
          <w:b/>
          <w:bCs/>
          <w:sz w:val="20"/>
          <w:szCs w:val="20"/>
        </w:rPr>
        <w:t>0</w:t>
      </w:r>
      <w:r w:rsidR="00CB652C">
        <w:rPr>
          <w:rFonts w:ascii="Poppins" w:hAnsi="Poppins" w:cs="Poppins"/>
          <w:b/>
          <w:bCs/>
          <w:sz w:val="20"/>
          <w:szCs w:val="20"/>
        </w:rPr>
        <w:t>1</w:t>
      </w:r>
      <w:r>
        <w:rPr>
          <w:rFonts w:ascii="Poppins" w:hAnsi="Poppins" w:cs="Poppins"/>
          <w:b/>
          <w:bCs/>
          <w:sz w:val="20"/>
          <w:szCs w:val="20"/>
        </w:rPr>
        <w:t>.202</w:t>
      </w:r>
      <w:r w:rsidR="00F77E05">
        <w:rPr>
          <w:rFonts w:ascii="Poppins" w:hAnsi="Poppins" w:cs="Poppins"/>
          <w:b/>
          <w:bCs/>
          <w:sz w:val="20"/>
          <w:szCs w:val="20"/>
        </w:rPr>
        <w:t>4</w:t>
      </w:r>
      <w:r>
        <w:rPr>
          <w:rFonts w:ascii="Poppins" w:hAnsi="Poppins" w:cs="Poppins"/>
          <w:b/>
          <w:bCs/>
          <w:sz w:val="20"/>
          <w:szCs w:val="20"/>
        </w:rPr>
        <w:t xml:space="preserve"> r.</w:t>
      </w:r>
    </w:p>
    <w:p w14:paraId="427E1844" w14:textId="06A8CCFE" w:rsidR="00AC69E1" w:rsidRDefault="00AC69E1" w:rsidP="00F57EDF">
      <w:pPr>
        <w:jc w:val="both"/>
        <w:rPr>
          <w:rFonts w:ascii="Poppins" w:hAnsi="Poppins" w:cs="Poppins"/>
          <w:b/>
          <w:bCs/>
          <w:sz w:val="20"/>
          <w:szCs w:val="20"/>
        </w:rPr>
      </w:pPr>
      <w:r w:rsidRPr="00765947">
        <w:rPr>
          <w:rFonts w:ascii="Poppins" w:hAnsi="Poppins" w:cs="Poppins"/>
          <w:b/>
          <w:bCs/>
          <w:sz w:val="20"/>
          <w:szCs w:val="20"/>
        </w:rPr>
        <w:t xml:space="preserve">Autor: RynekPierwotny.pl </w:t>
      </w:r>
    </w:p>
    <w:p w14:paraId="046DD218" w14:textId="63E9F9FC" w:rsidR="00F77E05" w:rsidRDefault="00E16302" w:rsidP="00F57EDF">
      <w:pPr>
        <w:jc w:val="both"/>
        <w:rPr>
          <w:rFonts w:ascii="Poppins" w:hAnsi="Poppins" w:cs="Poppins"/>
          <w:b/>
          <w:bCs/>
        </w:rPr>
      </w:pPr>
      <w:r>
        <w:rPr>
          <w:rFonts w:ascii="Poppins" w:hAnsi="Poppins" w:cs="Poppins"/>
          <w:b/>
          <w:bCs/>
          <w:sz w:val="40"/>
          <w:szCs w:val="40"/>
        </w:rPr>
        <w:t>W</w:t>
      </w:r>
      <w:r w:rsidR="00F57EDF">
        <w:rPr>
          <w:rFonts w:ascii="Poppins" w:hAnsi="Poppins" w:cs="Poppins"/>
          <w:b/>
          <w:bCs/>
          <w:sz w:val="40"/>
          <w:szCs w:val="40"/>
        </w:rPr>
        <w:t>ięcej rodzin mogło sobie pozwolić na dodatkowy pokój</w:t>
      </w:r>
      <w:r>
        <w:rPr>
          <w:rFonts w:ascii="Poppins" w:hAnsi="Poppins" w:cs="Poppins"/>
          <w:b/>
          <w:bCs/>
          <w:sz w:val="40"/>
          <w:szCs w:val="40"/>
        </w:rPr>
        <w:t xml:space="preserve"> dzięki „Bezpiecznemu Kredytowi 2%”</w:t>
      </w:r>
    </w:p>
    <w:p w14:paraId="7C91A00A" w14:textId="66DB2AED" w:rsidR="00F57EDF" w:rsidRDefault="00F57EDF" w:rsidP="00F57EDF">
      <w:pPr>
        <w:jc w:val="both"/>
        <w:rPr>
          <w:rFonts w:ascii="Poppins" w:hAnsi="Poppins" w:cs="Poppins"/>
          <w:b/>
          <w:bCs/>
        </w:rPr>
      </w:pPr>
      <w:r w:rsidRPr="00A51B78">
        <w:rPr>
          <w:rFonts w:ascii="Poppins" w:hAnsi="Poppins" w:cs="Poppins"/>
          <w:b/>
          <w:bCs/>
        </w:rPr>
        <w:t xml:space="preserve">W 2023 r. </w:t>
      </w:r>
      <w:r>
        <w:rPr>
          <w:rFonts w:ascii="Poppins" w:hAnsi="Poppins" w:cs="Poppins"/>
          <w:b/>
          <w:bCs/>
        </w:rPr>
        <w:t xml:space="preserve">w największych miastach wystrzeliła sprzedaż nowych mieszkań. </w:t>
      </w:r>
      <w:r w:rsidRPr="00A51B78">
        <w:rPr>
          <w:rFonts w:ascii="Poppins" w:hAnsi="Poppins" w:cs="Poppins"/>
          <w:b/>
          <w:bCs/>
        </w:rPr>
        <w:t xml:space="preserve">Eksperci portalu RynekPierwotny.pl </w:t>
      </w:r>
      <w:r>
        <w:rPr>
          <w:rFonts w:ascii="Poppins" w:hAnsi="Poppins" w:cs="Poppins"/>
          <w:b/>
          <w:bCs/>
        </w:rPr>
        <w:t xml:space="preserve">zbadali, jakie kupowane były najchętniej i czy w ubiegłym roku </w:t>
      </w:r>
      <w:r w:rsidRPr="00A51B78">
        <w:rPr>
          <w:rFonts w:ascii="Poppins" w:hAnsi="Poppins" w:cs="Poppins"/>
          <w:b/>
          <w:bCs/>
        </w:rPr>
        <w:t xml:space="preserve">zmieniły się </w:t>
      </w:r>
      <w:r>
        <w:rPr>
          <w:rFonts w:ascii="Poppins" w:hAnsi="Poppins" w:cs="Poppins"/>
          <w:b/>
          <w:bCs/>
        </w:rPr>
        <w:t>preferencje nabywców.</w:t>
      </w:r>
    </w:p>
    <w:p w14:paraId="3F2C26C0" w14:textId="200FB8DE" w:rsidR="00F57EDF" w:rsidRDefault="00F57EDF" w:rsidP="00F57EDF">
      <w:pPr>
        <w:jc w:val="both"/>
        <w:rPr>
          <w:rFonts w:ascii="Poppins" w:hAnsi="Poppins" w:cs="Poppins"/>
        </w:rPr>
      </w:pPr>
      <w:r>
        <w:rPr>
          <w:rFonts w:ascii="Poppins" w:hAnsi="Poppins" w:cs="Poppins"/>
        </w:rPr>
        <w:t xml:space="preserve">Z danych </w:t>
      </w:r>
      <w:hyperlink r:id="rId8" w:history="1">
        <w:r w:rsidRPr="006007E3">
          <w:rPr>
            <w:rStyle w:val="Hipercze"/>
            <w:rFonts w:ascii="Poppins" w:hAnsi="Poppins" w:cs="Poppins"/>
          </w:rPr>
          <w:t>BIG DATA RynekPierwotny.pl</w:t>
        </w:r>
      </w:hyperlink>
      <w:r>
        <w:rPr>
          <w:rFonts w:ascii="Poppins" w:hAnsi="Poppins" w:cs="Poppins"/>
        </w:rPr>
        <w:t xml:space="preserve"> wynika, że w siedmiu największych miastach deweloperzy sprzedali w ubiegłym roku ok. 65,7 tys. </w:t>
      </w:r>
      <w:r w:rsidR="006007E3">
        <w:rPr>
          <w:rFonts w:ascii="Poppins" w:hAnsi="Poppins" w:cs="Poppins"/>
        </w:rPr>
        <w:t>lokali</w:t>
      </w:r>
      <w:r>
        <w:rPr>
          <w:rFonts w:ascii="Poppins" w:hAnsi="Poppins" w:cs="Poppins"/>
        </w:rPr>
        <w:t xml:space="preserve">. Tradycyjnie największe wzięcie miały lokale dwupokojowe. Zdecydowało się na nie przeszło czterech na dziesięciu nabywców nowych mieszkań. Natomiast chętnych na kawalerki było znacznie mniej. </w:t>
      </w:r>
      <w:r w:rsidR="006007E3">
        <w:rPr>
          <w:rFonts w:ascii="Poppins" w:hAnsi="Poppins" w:cs="Poppins"/>
        </w:rPr>
        <w:t>L</w:t>
      </w:r>
      <w:r>
        <w:rPr>
          <w:rFonts w:ascii="Poppins" w:hAnsi="Poppins" w:cs="Poppins"/>
        </w:rPr>
        <w:t>epiej sprzedawały się nawet mieszkania trzypokojowe, a w niektórych metropoliach także czteropokojowe i większe.</w:t>
      </w:r>
    </w:p>
    <w:p w14:paraId="1BD77B01" w14:textId="77777777" w:rsidR="00F57EDF" w:rsidRPr="00CB3D83" w:rsidRDefault="00F57EDF" w:rsidP="00F57EDF">
      <w:pPr>
        <w:spacing w:before="100" w:beforeAutospacing="1" w:after="100" w:afterAutospacing="1"/>
        <w:jc w:val="both"/>
        <w:rPr>
          <w:rFonts w:ascii="Times New Roman" w:eastAsia="Times New Roman" w:hAnsi="Times New Roman" w:cs="Times New Roman"/>
          <w:sz w:val="24"/>
          <w:szCs w:val="24"/>
        </w:rPr>
      </w:pPr>
      <w:r w:rsidRPr="00CB3D83">
        <w:rPr>
          <w:rFonts w:ascii="Times New Roman" w:eastAsia="Times New Roman" w:hAnsi="Times New Roman" w:cs="Times New Roman"/>
          <w:noProof/>
          <w:sz w:val="24"/>
          <w:szCs w:val="24"/>
        </w:rPr>
        <w:drawing>
          <wp:inline distT="0" distB="0" distL="0" distR="0" wp14:anchorId="613939B3" wp14:editId="6D0BCC6B">
            <wp:extent cx="6639005" cy="3657600"/>
            <wp:effectExtent l="0" t="0" r="9525" b="0"/>
            <wp:docPr id="1934770679" name="Obraz 1" descr="Obraz zawierający tekst, zrzut ekranu, diagram,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770679" name="Obraz 1" descr="Obraz zawierający tekst, zrzut ekranu, diagram, Czcionka&#10;&#10;Opis wygenerowany automatyczn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4260" cy="3660495"/>
                    </a:xfrm>
                    <a:prstGeom prst="rect">
                      <a:avLst/>
                    </a:prstGeom>
                    <a:noFill/>
                    <a:ln>
                      <a:noFill/>
                    </a:ln>
                  </pic:spPr>
                </pic:pic>
              </a:graphicData>
            </a:graphic>
          </wp:inline>
        </w:drawing>
      </w:r>
    </w:p>
    <w:p w14:paraId="34969461" w14:textId="77777777" w:rsidR="00F57EDF" w:rsidRDefault="00F57EDF" w:rsidP="00F57EDF">
      <w:pPr>
        <w:jc w:val="both"/>
        <w:rPr>
          <w:rFonts w:ascii="Poppins" w:hAnsi="Poppins" w:cs="Poppins"/>
        </w:rPr>
      </w:pPr>
      <w:r>
        <w:rPr>
          <w:rFonts w:ascii="Poppins" w:hAnsi="Poppins" w:cs="Poppins"/>
        </w:rPr>
        <w:t xml:space="preserve">– </w:t>
      </w:r>
      <w:r w:rsidRPr="00F57EDF">
        <w:rPr>
          <w:rFonts w:ascii="Poppins" w:hAnsi="Poppins" w:cs="Poppins"/>
          <w:i/>
          <w:iCs/>
        </w:rPr>
        <w:t>Największa popularność „dwójek” najpewniej nikogo nie dziwi. Kupują je najczęściej młode pary, ale także i single, jako swoje pierwsze lokum. Kupno kawalerki nie zawsze ma sens także z uwagi na bardzo wysoką cenę metra kwadratowego</w:t>
      </w:r>
      <w:r>
        <w:rPr>
          <w:rFonts w:ascii="Poppins" w:hAnsi="Poppins" w:cs="Poppins"/>
        </w:rPr>
        <w:t xml:space="preserve"> – mówi Marek </w:t>
      </w:r>
      <w:proofErr w:type="spellStart"/>
      <w:r>
        <w:rPr>
          <w:rFonts w:ascii="Poppins" w:hAnsi="Poppins" w:cs="Poppins"/>
        </w:rPr>
        <w:t>Wielgo</w:t>
      </w:r>
      <w:proofErr w:type="spellEnd"/>
      <w:r>
        <w:rPr>
          <w:rFonts w:ascii="Poppins" w:hAnsi="Poppins" w:cs="Poppins"/>
        </w:rPr>
        <w:t xml:space="preserve">, ekspert portalu RynekPierwotny.pl. </w:t>
      </w:r>
    </w:p>
    <w:p w14:paraId="0FC71DDD" w14:textId="2795CD1C" w:rsidR="00F57EDF" w:rsidRDefault="00F57EDF" w:rsidP="00F57EDF">
      <w:pPr>
        <w:jc w:val="both"/>
        <w:rPr>
          <w:rFonts w:ascii="Poppins" w:hAnsi="Poppins" w:cs="Poppins"/>
          <w:color w:val="202124"/>
          <w:spacing w:val="3"/>
          <w:shd w:val="clear" w:color="auto" w:fill="FFFFFF"/>
        </w:rPr>
      </w:pPr>
      <w:r>
        <w:rPr>
          <w:rFonts w:ascii="Poppins" w:hAnsi="Poppins" w:cs="Poppins"/>
          <w:color w:val="202124"/>
          <w:spacing w:val="3"/>
          <w:shd w:val="clear" w:color="auto" w:fill="FFFFFF"/>
        </w:rPr>
        <w:t xml:space="preserve">Jako przykład </w:t>
      </w:r>
      <w:r w:rsidR="006007E3">
        <w:rPr>
          <w:rFonts w:ascii="Poppins" w:hAnsi="Poppins" w:cs="Poppins"/>
          <w:color w:val="202124"/>
          <w:spacing w:val="3"/>
          <w:shd w:val="clear" w:color="auto" w:fill="FFFFFF"/>
        </w:rPr>
        <w:t>można podać</w:t>
      </w:r>
      <w:r>
        <w:rPr>
          <w:rFonts w:ascii="Poppins" w:hAnsi="Poppins" w:cs="Poppins"/>
          <w:color w:val="202124"/>
          <w:spacing w:val="3"/>
          <w:shd w:val="clear" w:color="auto" w:fill="FFFFFF"/>
        </w:rPr>
        <w:t xml:space="preserve"> Warszawę, gdzie średnia cena metra kwadratowego mieszkań z jednym pokojem przekroczyła w ubiegłym roku 22 tys. zł. W przypadku mieszkań z dwoma </w:t>
      </w:r>
      <w:r>
        <w:rPr>
          <w:rFonts w:ascii="Poppins" w:hAnsi="Poppins" w:cs="Poppins"/>
          <w:color w:val="202124"/>
          <w:spacing w:val="3"/>
          <w:shd w:val="clear" w:color="auto" w:fill="FFFFFF"/>
        </w:rPr>
        <w:lastRenderedPageBreak/>
        <w:t xml:space="preserve">pokojami wynosiła zaś ok. 16,8 tys. zł. Tak więc przeciętna 31-metrowa kawalerka kosztowała ok. 690 tys. zł, a 44-metrowa „dwójka” –749 tys. To „tylko” 59 tys. zł różnicy za dodatkowy pokój o powierzchni 13 m kw. </w:t>
      </w:r>
      <w:r w:rsidR="006007E3">
        <w:rPr>
          <w:rFonts w:ascii="Poppins" w:hAnsi="Poppins" w:cs="Poppins"/>
          <w:color w:val="202124"/>
          <w:spacing w:val="3"/>
          <w:shd w:val="clear" w:color="auto" w:fill="FFFFFF"/>
        </w:rPr>
        <w:t>N</w:t>
      </w:r>
      <w:r>
        <w:rPr>
          <w:rFonts w:ascii="Poppins" w:hAnsi="Poppins" w:cs="Poppins"/>
          <w:color w:val="202124"/>
          <w:spacing w:val="3"/>
          <w:shd w:val="clear" w:color="auto" w:fill="FFFFFF"/>
        </w:rPr>
        <w:t>ajpewniej to dlatego w stolicy mieszkania dwupokojowe najszybciej znikały z rynku, a ich udział w łącznej sprzedaży warszawskich deweloperów wynosił 43%. Dla porównania kawalerek – tylko 10%.</w:t>
      </w:r>
    </w:p>
    <w:p w14:paraId="64D16BD8" w14:textId="051D67CD" w:rsidR="00F57EDF" w:rsidRDefault="006007E3" w:rsidP="00F57EDF">
      <w:pPr>
        <w:jc w:val="both"/>
        <w:rPr>
          <w:rFonts w:ascii="Poppins" w:hAnsi="Poppins" w:cs="Poppins"/>
          <w:color w:val="202124"/>
          <w:spacing w:val="3"/>
          <w:shd w:val="clear" w:color="auto" w:fill="FFFFFF"/>
        </w:rPr>
      </w:pPr>
      <w:r>
        <w:rPr>
          <w:rFonts w:ascii="Poppins" w:hAnsi="Poppins" w:cs="Poppins"/>
          <w:color w:val="202124"/>
          <w:spacing w:val="3"/>
          <w:shd w:val="clear" w:color="auto" w:fill="FFFFFF"/>
        </w:rPr>
        <w:t>Należy jednak</w:t>
      </w:r>
      <w:r w:rsidR="00F57EDF">
        <w:rPr>
          <w:rFonts w:ascii="Poppins" w:hAnsi="Poppins" w:cs="Poppins"/>
          <w:color w:val="202124"/>
          <w:spacing w:val="3"/>
          <w:shd w:val="clear" w:color="auto" w:fill="FFFFFF"/>
        </w:rPr>
        <w:t xml:space="preserve"> zwr</w:t>
      </w:r>
      <w:r>
        <w:rPr>
          <w:rFonts w:ascii="Poppins" w:hAnsi="Poppins" w:cs="Poppins"/>
          <w:color w:val="202124"/>
          <w:spacing w:val="3"/>
          <w:shd w:val="clear" w:color="auto" w:fill="FFFFFF"/>
        </w:rPr>
        <w:t>ócić</w:t>
      </w:r>
      <w:r w:rsidR="00F57EDF">
        <w:rPr>
          <w:rFonts w:ascii="Poppins" w:hAnsi="Poppins" w:cs="Poppins"/>
          <w:color w:val="202124"/>
          <w:spacing w:val="3"/>
          <w:shd w:val="clear" w:color="auto" w:fill="FFFFFF"/>
        </w:rPr>
        <w:t xml:space="preserve"> uwagę, że p</w:t>
      </w:r>
      <w:r w:rsidR="00F57EDF" w:rsidRPr="00B10796">
        <w:rPr>
          <w:rFonts w:ascii="Poppins" w:hAnsi="Poppins" w:cs="Poppins"/>
          <w:color w:val="202124"/>
          <w:spacing w:val="3"/>
          <w:shd w:val="clear" w:color="auto" w:fill="FFFFFF"/>
        </w:rPr>
        <w:t>oszczególne metropolie mają swoją specyfikę</w:t>
      </w:r>
      <w:r w:rsidR="00F57EDF">
        <w:rPr>
          <w:rFonts w:ascii="Poppins" w:hAnsi="Poppins" w:cs="Poppins"/>
          <w:color w:val="202124"/>
          <w:spacing w:val="3"/>
          <w:shd w:val="clear" w:color="auto" w:fill="FFFFFF"/>
        </w:rPr>
        <w:t>, jeśli chodzi o preferencje kupujących mieszkania</w:t>
      </w:r>
      <w:r w:rsidR="00F57EDF" w:rsidRPr="00B10796">
        <w:rPr>
          <w:rFonts w:ascii="Poppins" w:hAnsi="Poppins" w:cs="Poppins"/>
          <w:color w:val="202124"/>
          <w:spacing w:val="3"/>
          <w:shd w:val="clear" w:color="auto" w:fill="FFFFFF"/>
        </w:rPr>
        <w:t xml:space="preserve">. </w:t>
      </w:r>
      <w:r w:rsidR="00F57EDF">
        <w:rPr>
          <w:rFonts w:ascii="Poppins" w:hAnsi="Poppins" w:cs="Poppins"/>
          <w:color w:val="202124"/>
          <w:spacing w:val="3"/>
          <w:shd w:val="clear" w:color="auto" w:fill="FFFFFF"/>
        </w:rPr>
        <w:t>Oczywiście we wszystkich dwupokojowe mają największe wzięcie, ale np. Wrocław wyróżnia się znacznie niższym odsetkiem „dwójek” w sprzedaży (37%). Wysoka</w:t>
      </w:r>
      <w:r>
        <w:rPr>
          <w:rFonts w:ascii="Poppins" w:hAnsi="Poppins" w:cs="Poppins"/>
          <w:color w:val="202124"/>
          <w:spacing w:val="3"/>
          <w:shd w:val="clear" w:color="auto" w:fill="FFFFFF"/>
        </w:rPr>
        <w:t>,</w:t>
      </w:r>
      <w:r w:rsidR="00F57EDF">
        <w:rPr>
          <w:rFonts w:ascii="Poppins" w:hAnsi="Poppins" w:cs="Poppins"/>
          <w:color w:val="202124"/>
          <w:spacing w:val="3"/>
          <w:shd w:val="clear" w:color="auto" w:fill="FFFFFF"/>
        </w:rPr>
        <w:t xml:space="preserve"> na tle innych metropolii</w:t>
      </w:r>
      <w:r>
        <w:rPr>
          <w:rFonts w:ascii="Poppins" w:hAnsi="Poppins" w:cs="Poppins"/>
          <w:color w:val="202124"/>
          <w:spacing w:val="3"/>
          <w:shd w:val="clear" w:color="auto" w:fill="FFFFFF"/>
        </w:rPr>
        <w:t>,</w:t>
      </w:r>
      <w:r w:rsidR="00F57EDF">
        <w:rPr>
          <w:rFonts w:ascii="Poppins" w:hAnsi="Poppins" w:cs="Poppins"/>
          <w:color w:val="202124"/>
          <w:spacing w:val="3"/>
          <w:shd w:val="clear" w:color="auto" w:fill="FFFFFF"/>
        </w:rPr>
        <w:t xml:space="preserve"> była tam za to sprzedaż kawalerek – niemal co piąte sprzedane przez deweloperów mieszkanie. Być może małe lokale wzięli na cel inwestorzy, np. z zamiarem ich wynajmu.</w:t>
      </w:r>
    </w:p>
    <w:p w14:paraId="4B6A160D" w14:textId="77777777" w:rsidR="00F57EDF" w:rsidRPr="00FF5D5C" w:rsidRDefault="00F57EDF" w:rsidP="00F57EDF">
      <w:pPr>
        <w:jc w:val="center"/>
        <w:rPr>
          <w:rFonts w:ascii="Times New Roman" w:eastAsia="Times New Roman" w:hAnsi="Times New Roman" w:cs="Times New Roman"/>
          <w:sz w:val="24"/>
          <w:szCs w:val="24"/>
        </w:rPr>
      </w:pPr>
      <w:r w:rsidRPr="00FF5D5C">
        <w:rPr>
          <w:rFonts w:ascii="Times New Roman" w:eastAsia="Times New Roman" w:hAnsi="Times New Roman" w:cs="Times New Roman"/>
          <w:noProof/>
          <w:sz w:val="24"/>
          <w:szCs w:val="24"/>
        </w:rPr>
        <w:drawing>
          <wp:inline distT="0" distB="0" distL="0" distR="0" wp14:anchorId="77E0364B" wp14:editId="14A2EAAD">
            <wp:extent cx="6536987" cy="3657600"/>
            <wp:effectExtent l="0" t="0" r="0" b="0"/>
            <wp:docPr id="1854326537" name="Obraz 2" descr="Obraz zawierający tekst, zrzut ekranu, Wielobarwność, diagram&#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326537" name="Obraz 2" descr="Obraz zawierający tekst, zrzut ekranu, Wielobarwność, diagram&#10;&#10;Opis wygenerowany automatyczni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41759" cy="3660270"/>
                    </a:xfrm>
                    <a:prstGeom prst="rect">
                      <a:avLst/>
                    </a:prstGeom>
                    <a:noFill/>
                    <a:ln>
                      <a:noFill/>
                    </a:ln>
                  </pic:spPr>
                </pic:pic>
              </a:graphicData>
            </a:graphic>
          </wp:inline>
        </w:drawing>
      </w:r>
    </w:p>
    <w:p w14:paraId="13E3AD08" w14:textId="0860C9D8" w:rsidR="00F57EDF" w:rsidRDefault="00F57EDF" w:rsidP="00F57EDF">
      <w:pPr>
        <w:jc w:val="both"/>
        <w:rPr>
          <w:rFonts w:ascii="Poppins" w:hAnsi="Poppins" w:cs="Poppins"/>
          <w:color w:val="202124"/>
          <w:spacing w:val="3"/>
          <w:shd w:val="clear" w:color="auto" w:fill="FFFFFF"/>
        </w:rPr>
      </w:pPr>
      <w:r>
        <w:rPr>
          <w:rFonts w:ascii="Poppins" w:hAnsi="Poppins" w:cs="Poppins"/>
          <w:color w:val="202124"/>
          <w:spacing w:val="3"/>
          <w:shd w:val="clear" w:color="auto" w:fill="FFFFFF"/>
        </w:rPr>
        <w:t xml:space="preserve">Nie jest też niczym zaskakującym, że popyt na kawalerki był znacznie niższy niż na mieszkania trzypokojowe. Na ich zakup decydowało się w większości metropolii ponad 30% klientów firm deweloperskich. W tym przypadku rzuca się w oczy odmienność Łodzi, gdzie udział „trójek” w sprzedaży deweloperów wyniósł tylko 26%. </w:t>
      </w:r>
    </w:p>
    <w:p w14:paraId="2071C634" w14:textId="2C9B3B04" w:rsidR="00F57EDF" w:rsidRDefault="00F57EDF" w:rsidP="00F57EDF">
      <w:pPr>
        <w:jc w:val="both"/>
        <w:rPr>
          <w:rFonts w:ascii="Poppins" w:hAnsi="Poppins" w:cs="Poppins"/>
          <w:color w:val="202124"/>
          <w:spacing w:val="3"/>
          <w:shd w:val="clear" w:color="auto" w:fill="FFFFFF"/>
        </w:rPr>
      </w:pPr>
      <w:r>
        <w:rPr>
          <w:rFonts w:ascii="Poppins" w:hAnsi="Poppins" w:cs="Poppins"/>
          <w:color w:val="202124"/>
          <w:spacing w:val="3"/>
          <w:shd w:val="clear" w:color="auto" w:fill="FFFFFF"/>
        </w:rPr>
        <w:t xml:space="preserve">–  </w:t>
      </w:r>
      <w:r w:rsidRPr="00F57EDF">
        <w:rPr>
          <w:rFonts w:ascii="Poppins" w:hAnsi="Poppins" w:cs="Poppins"/>
          <w:i/>
          <w:iCs/>
          <w:color w:val="202124"/>
          <w:spacing w:val="3"/>
          <w:shd w:val="clear" w:color="auto" w:fill="FFFFFF"/>
        </w:rPr>
        <w:t>Wygląda na to, że w Łodzi na celowniku kupujących nowe mieszkania były głównie małe metraże, a więc kawalerki i dwupokojowe. Najmniejszy spośród wszystkich miast udział w sprzedaży miały tam mieszkania czteropokojowe i większe</w:t>
      </w:r>
      <w:r>
        <w:rPr>
          <w:rFonts w:ascii="Poppins" w:hAnsi="Poppins" w:cs="Poppins"/>
          <w:color w:val="202124"/>
          <w:spacing w:val="3"/>
          <w:shd w:val="clear" w:color="auto" w:fill="FFFFFF"/>
        </w:rPr>
        <w:t xml:space="preserve"> – komentuje Marek </w:t>
      </w:r>
      <w:proofErr w:type="spellStart"/>
      <w:r>
        <w:rPr>
          <w:rFonts w:ascii="Poppins" w:hAnsi="Poppins" w:cs="Poppins"/>
          <w:color w:val="202124"/>
          <w:spacing w:val="3"/>
          <w:shd w:val="clear" w:color="auto" w:fill="FFFFFF"/>
        </w:rPr>
        <w:t>Wielgo</w:t>
      </w:r>
      <w:proofErr w:type="spellEnd"/>
      <w:r>
        <w:rPr>
          <w:rFonts w:ascii="Poppins" w:hAnsi="Poppins" w:cs="Poppins"/>
          <w:color w:val="202124"/>
          <w:spacing w:val="3"/>
          <w:shd w:val="clear" w:color="auto" w:fill="FFFFFF"/>
        </w:rPr>
        <w:t>.</w:t>
      </w:r>
    </w:p>
    <w:p w14:paraId="47CD7881" w14:textId="4BCAFCD1" w:rsidR="00F57EDF" w:rsidRDefault="00F57EDF" w:rsidP="00F57EDF">
      <w:pPr>
        <w:jc w:val="both"/>
        <w:rPr>
          <w:rFonts w:ascii="Poppins" w:hAnsi="Poppins" w:cs="Poppins"/>
          <w:color w:val="202124"/>
          <w:spacing w:val="3"/>
          <w:shd w:val="clear" w:color="auto" w:fill="FFFFFF"/>
        </w:rPr>
      </w:pPr>
      <w:r>
        <w:rPr>
          <w:rFonts w:ascii="Poppins" w:hAnsi="Poppins" w:cs="Poppins"/>
          <w:color w:val="202124"/>
          <w:spacing w:val="3"/>
          <w:shd w:val="clear" w:color="auto" w:fill="FFFFFF"/>
        </w:rPr>
        <w:t xml:space="preserve">W przypadku dużych metraży, największe wzięcie miały one w ubiegłym roku w miastach Górnośląsko-Zagłębiowskiej Metropolii. Co ciekawe, tamtejsi deweloperzy sprzedali więcej mieszkań czteropokojowych i większych niż kawalerek. Podobnie było w Krakowie i Trójmieście. </w:t>
      </w:r>
    </w:p>
    <w:p w14:paraId="57D10AF7" w14:textId="04D7AB0D" w:rsidR="00F57EDF" w:rsidRDefault="006007E3" w:rsidP="00F57EDF">
      <w:pPr>
        <w:jc w:val="both"/>
        <w:rPr>
          <w:rFonts w:ascii="Poppins" w:hAnsi="Poppins" w:cs="Poppins"/>
          <w:shd w:val="clear" w:color="auto" w:fill="FFFFFF"/>
        </w:rPr>
      </w:pPr>
      <w:r>
        <w:rPr>
          <w:rFonts w:ascii="Poppins" w:hAnsi="Poppins" w:cs="Poppins"/>
        </w:rPr>
        <w:lastRenderedPageBreak/>
        <w:t>Warto</w:t>
      </w:r>
      <w:r w:rsidR="00F57EDF">
        <w:rPr>
          <w:rFonts w:ascii="Poppins" w:hAnsi="Poppins" w:cs="Poppins"/>
        </w:rPr>
        <w:t xml:space="preserve"> zwr</w:t>
      </w:r>
      <w:r>
        <w:rPr>
          <w:rFonts w:ascii="Poppins" w:hAnsi="Poppins" w:cs="Poppins"/>
        </w:rPr>
        <w:t>ócić</w:t>
      </w:r>
      <w:r w:rsidR="00F57EDF">
        <w:rPr>
          <w:rFonts w:ascii="Poppins" w:hAnsi="Poppins" w:cs="Poppins"/>
        </w:rPr>
        <w:t xml:space="preserve"> uwagę, że preferencje kupujących w dużym stopniu zależą od ich zdolności kredytowej oraz cen mieszkań. N</w:t>
      </w:r>
      <w:r>
        <w:rPr>
          <w:rFonts w:ascii="Poppins" w:hAnsi="Poppins" w:cs="Poppins"/>
        </w:rPr>
        <w:t xml:space="preserve">a </w:t>
      </w:r>
      <w:r w:rsidR="00F57EDF">
        <w:rPr>
          <w:rFonts w:ascii="Poppins" w:hAnsi="Poppins" w:cs="Poppins"/>
        </w:rPr>
        <w:t>p</w:t>
      </w:r>
      <w:r>
        <w:rPr>
          <w:rFonts w:ascii="Poppins" w:hAnsi="Poppins" w:cs="Poppins"/>
        </w:rPr>
        <w:t>rzykład</w:t>
      </w:r>
      <w:r w:rsidR="00F57EDF">
        <w:rPr>
          <w:rFonts w:ascii="Poppins" w:hAnsi="Poppins" w:cs="Poppins"/>
        </w:rPr>
        <w:t xml:space="preserve"> w 2022 r. na skutek gwałtownego wzrostu oprocentowania kredytów, w</w:t>
      </w:r>
      <w:r w:rsidR="00F57EDF" w:rsidRPr="00B10796">
        <w:rPr>
          <w:rFonts w:ascii="Poppins" w:hAnsi="Poppins" w:cs="Poppins"/>
        </w:rPr>
        <w:t xml:space="preserve">e wszystkich największych miastach </w:t>
      </w:r>
      <w:r w:rsidR="00F57EDF" w:rsidRPr="00B10796">
        <w:rPr>
          <w:rFonts w:ascii="Poppins" w:hAnsi="Poppins" w:cs="Poppins"/>
          <w:color w:val="202124"/>
          <w:spacing w:val="3"/>
          <w:shd w:val="clear" w:color="auto" w:fill="FFFFFF"/>
        </w:rPr>
        <w:t>wzrósł popyt na kawalerki, a zmniejszył się na mieszkania trzypokojowe.</w:t>
      </w:r>
      <w:r w:rsidR="00F57EDF">
        <w:rPr>
          <w:rFonts w:ascii="Poppins" w:hAnsi="Poppins" w:cs="Poppins"/>
          <w:color w:val="202124"/>
          <w:spacing w:val="3"/>
          <w:shd w:val="clear" w:color="auto" w:fill="FFFFFF"/>
        </w:rPr>
        <w:t xml:space="preserve"> A jak było w 2023 r</w:t>
      </w:r>
      <w:r>
        <w:rPr>
          <w:rFonts w:ascii="Poppins" w:hAnsi="Poppins" w:cs="Poppins"/>
          <w:color w:val="202124"/>
          <w:spacing w:val="3"/>
          <w:shd w:val="clear" w:color="auto" w:fill="FFFFFF"/>
        </w:rPr>
        <w:t>oku</w:t>
      </w:r>
      <w:r w:rsidR="00F57EDF">
        <w:rPr>
          <w:rFonts w:ascii="Poppins" w:hAnsi="Poppins" w:cs="Poppins"/>
          <w:color w:val="202124"/>
          <w:spacing w:val="3"/>
          <w:shd w:val="clear" w:color="auto" w:fill="FFFFFF"/>
        </w:rPr>
        <w:t>? Dostępność kredytów wyraźnie się poprawiła, a r</w:t>
      </w:r>
      <w:r w:rsidR="00F57EDF" w:rsidRPr="00732893">
        <w:rPr>
          <w:rFonts w:ascii="Poppins" w:hAnsi="Poppins" w:cs="Poppins"/>
          <w:shd w:val="clear" w:color="auto" w:fill="FFFFFF"/>
        </w:rPr>
        <w:t xml:space="preserve">ządowy </w:t>
      </w:r>
      <w:r w:rsidR="00F57EDF">
        <w:rPr>
          <w:rFonts w:ascii="Poppins" w:hAnsi="Poppins" w:cs="Poppins"/>
          <w:shd w:val="clear" w:color="auto" w:fill="FFFFFF"/>
        </w:rPr>
        <w:t xml:space="preserve">program </w:t>
      </w:r>
      <w:r w:rsidR="00F57EDF" w:rsidRPr="00732893">
        <w:rPr>
          <w:rFonts w:ascii="Poppins" w:hAnsi="Poppins" w:cs="Poppins"/>
        </w:rPr>
        <w:t>„Bezpieczn</w:t>
      </w:r>
      <w:r w:rsidR="00F57EDF">
        <w:rPr>
          <w:rFonts w:ascii="Poppins" w:hAnsi="Poppins" w:cs="Poppins"/>
        </w:rPr>
        <w:t>y</w:t>
      </w:r>
      <w:r w:rsidR="00F57EDF" w:rsidRPr="00732893">
        <w:rPr>
          <w:rFonts w:ascii="Poppins" w:hAnsi="Poppins" w:cs="Poppins"/>
        </w:rPr>
        <w:t xml:space="preserve"> Kredyt 2%”</w:t>
      </w:r>
      <w:r w:rsidR="00F57EDF">
        <w:rPr>
          <w:rFonts w:ascii="Poppins" w:hAnsi="Poppins" w:cs="Poppins"/>
        </w:rPr>
        <w:t xml:space="preserve"> u</w:t>
      </w:r>
      <w:r w:rsidR="00F57EDF" w:rsidRPr="00F57EDF">
        <w:rPr>
          <w:rStyle w:val="Pogrubienie"/>
          <w:rFonts w:ascii="Poppins" w:hAnsi="Poppins" w:cs="Poppins"/>
          <w:b w:val="0"/>
          <w:bCs w:val="0"/>
          <w:shd w:val="clear" w:color="auto" w:fill="FFFFFF"/>
        </w:rPr>
        <w:t>ruchomił wręcz lawinę</w:t>
      </w:r>
      <w:r w:rsidR="00F57EDF" w:rsidRPr="00732893">
        <w:rPr>
          <w:rStyle w:val="Pogrubienie"/>
          <w:rFonts w:ascii="Poppins" w:hAnsi="Poppins" w:cs="Poppins"/>
          <w:shd w:val="clear" w:color="auto" w:fill="FFFFFF"/>
        </w:rPr>
        <w:t xml:space="preserve"> </w:t>
      </w:r>
      <w:r w:rsidR="00F57EDF" w:rsidRPr="00732893">
        <w:rPr>
          <w:rFonts w:ascii="Poppins" w:hAnsi="Poppins" w:cs="Poppins"/>
        </w:rPr>
        <w:t>popytu</w:t>
      </w:r>
      <w:r w:rsidR="00F57EDF">
        <w:rPr>
          <w:rFonts w:ascii="Poppins" w:hAnsi="Poppins" w:cs="Poppins"/>
        </w:rPr>
        <w:t xml:space="preserve"> na nowe mieszkania. Problem w tym, że d</w:t>
      </w:r>
      <w:r w:rsidR="00F57EDF" w:rsidRPr="00732893">
        <w:rPr>
          <w:rFonts w:ascii="Poppins" w:hAnsi="Poppins" w:cs="Poppins"/>
        </w:rPr>
        <w:t xml:space="preserve">eweloperzy nie od razu zareagowali odpowiednią podażą. </w:t>
      </w:r>
      <w:r w:rsidR="00F57EDF">
        <w:rPr>
          <w:rFonts w:ascii="Poppins" w:hAnsi="Poppins" w:cs="Poppins"/>
        </w:rPr>
        <w:t xml:space="preserve">Wskutek </w:t>
      </w:r>
      <w:r w:rsidR="00F57EDF" w:rsidRPr="00732893">
        <w:rPr>
          <w:rFonts w:ascii="Poppins" w:hAnsi="Poppins" w:cs="Poppins"/>
          <w:shd w:val="clear" w:color="auto" w:fill="FFFFFF"/>
        </w:rPr>
        <w:t>potężn</w:t>
      </w:r>
      <w:r w:rsidR="00F57EDF">
        <w:rPr>
          <w:rFonts w:ascii="Poppins" w:hAnsi="Poppins" w:cs="Poppins"/>
          <w:shd w:val="clear" w:color="auto" w:fill="FFFFFF"/>
        </w:rPr>
        <w:t>ej</w:t>
      </w:r>
      <w:r w:rsidR="00F57EDF" w:rsidRPr="00732893">
        <w:rPr>
          <w:rFonts w:ascii="Poppins" w:hAnsi="Poppins" w:cs="Poppins"/>
          <w:shd w:val="clear" w:color="auto" w:fill="FFFFFF"/>
        </w:rPr>
        <w:t xml:space="preserve"> nierównowag</w:t>
      </w:r>
      <w:r w:rsidR="00F57EDF">
        <w:rPr>
          <w:rFonts w:ascii="Poppins" w:hAnsi="Poppins" w:cs="Poppins"/>
          <w:shd w:val="clear" w:color="auto" w:fill="FFFFFF"/>
        </w:rPr>
        <w:t>i</w:t>
      </w:r>
      <w:r w:rsidR="00F57EDF" w:rsidRPr="00732893">
        <w:rPr>
          <w:rFonts w:ascii="Poppins" w:hAnsi="Poppins" w:cs="Poppins"/>
          <w:shd w:val="clear" w:color="auto" w:fill="FFFFFF"/>
        </w:rPr>
        <w:t xml:space="preserve"> między popytem i podażą </w:t>
      </w:r>
      <w:r w:rsidR="00F57EDF">
        <w:rPr>
          <w:rFonts w:ascii="Poppins" w:hAnsi="Poppins" w:cs="Poppins"/>
          <w:shd w:val="clear" w:color="auto" w:fill="FFFFFF"/>
        </w:rPr>
        <w:t xml:space="preserve">w większości metropolii miały miejsce </w:t>
      </w:r>
      <w:r w:rsidR="00F57EDF" w:rsidRPr="00732893">
        <w:rPr>
          <w:rFonts w:ascii="Poppins" w:hAnsi="Poppins" w:cs="Poppins"/>
          <w:shd w:val="clear" w:color="auto" w:fill="FFFFFF"/>
        </w:rPr>
        <w:t>dwucyfrow</w:t>
      </w:r>
      <w:r w:rsidR="00F57EDF">
        <w:rPr>
          <w:rFonts w:ascii="Poppins" w:hAnsi="Poppins" w:cs="Poppins"/>
          <w:shd w:val="clear" w:color="auto" w:fill="FFFFFF"/>
        </w:rPr>
        <w:t>e</w:t>
      </w:r>
      <w:r w:rsidR="00F57EDF" w:rsidRPr="00732893">
        <w:rPr>
          <w:rFonts w:ascii="Poppins" w:hAnsi="Poppins" w:cs="Poppins"/>
          <w:shd w:val="clear" w:color="auto" w:fill="FFFFFF"/>
        </w:rPr>
        <w:t xml:space="preserve"> podwyżk</w:t>
      </w:r>
      <w:r w:rsidR="00F57EDF">
        <w:rPr>
          <w:rFonts w:ascii="Poppins" w:hAnsi="Poppins" w:cs="Poppins"/>
          <w:shd w:val="clear" w:color="auto" w:fill="FFFFFF"/>
        </w:rPr>
        <w:t>i</w:t>
      </w:r>
      <w:r w:rsidR="00F57EDF" w:rsidRPr="00732893">
        <w:rPr>
          <w:rFonts w:ascii="Poppins" w:hAnsi="Poppins" w:cs="Poppins"/>
          <w:shd w:val="clear" w:color="auto" w:fill="FFFFFF"/>
        </w:rPr>
        <w:t xml:space="preserve"> średniej ceny metra kwadratowego.</w:t>
      </w:r>
      <w:r w:rsidR="00F57EDF">
        <w:rPr>
          <w:rFonts w:ascii="Poppins" w:hAnsi="Poppins" w:cs="Poppins"/>
          <w:shd w:val="clear" w:color="auto" w:fill="FFFFFF"/>
        </w:rPr>
        <w:t xml:space="preserve"> </w:t>
      </w:r>
      <w:r w:rsidR="00F57EDF">
        <w:rPr>
          <w:rFonts w:ascii="Poppins" w:hAnsi="Poppins" w:cs="Poppins"/>
          <w:color w:val="202124"/>
          <w:spacing w:val="3"/>
          <w:shd w:val="clear" w:color="auto" w:fill="FFFFFF"/>
        </w:rPr>
        <w:t xml:space="preserve">Logika podpowiada, że w tej sytuacji </w:t>
      </w:r>
      <w:r w:rsidR="00F57EDF">
        <w:rPr>
          <w:rFonts w:ascii="Poppins" w:hAnsi="Poppins" w:cs="Poppins"/>
          <w:shd w:val="clear" w:color="auto" w:fill="FFFFFF"/>
        </w:rPr>
        <w:t xml:space="preserve">większe wzięcie powinny mieć mniejsze lokale. Tymczasem stało się coś odwrotnego. W </w:t>
      </w:r>
      <w:r w:rsidR="00F57EDF">
        <w:rPr>
          <w:rFonts w:ascii="Poppins" w:hAnsi="Poppins" w:cs="Poppins"/>
          <w:color w:val="202124"/>
          <w:spacing w:val="3"/>
          <w:shd w:val="clear" w:color="auto" w:fill="FFFFFF"/>
        </w:rPr>
        <w:t>łącznej puli sprzedanych mieszkań w siedmiu największych miastach zmalał udział kawalerek i mieszkań dwupokojowych, a wzrosła sprzedaż mieszkań trzypokojowych.</w:t>
      </w:r>
    </w:p>
    <w:p w14:paraId="099E8A4A" w14:textId="77777777" w:rsidR="00F57EDF" w:rsidRPr="0062291B" w:rsidRDefault="00F57EDF" w:rsidP="00F57EDF">
      <w:pPr>
        <w:spacing w:before="100" w:beforeAutospacing="1" w:after="100" w:afterAutospacing="1"/>
        <w:jc w:val="both"/>
        <w:rPr>
          <w:rFonts w:ascii="Times New Roman" w:eastAsia="Times New Roman" w:hAnsi="Times New Roman" w:cs="Times New Roman"/>
          <w:sz w:val="24"/>
          <w:szCs w:val="24"/>
        </w:rPr>
      </w:pPr>
      <w:r w:rsidRPr="0062291B">
        <w:rPr>
          <w:rFonts w:ascii="Times New Roman" w:eastAsia="Times New Roman" w:hAnsi="Times New Roman" w:cs="Times New Roman"/>
          <w:noProof/>
          <w:sz w:val="24"/>
          <w:szCs w:val="24"/>
        </w:rPr>
        <w:drawing>
          <wp:inline distT="0" distB="0" distL="0" distR="0" wp14:anchorId="79C94037" wp14:editId="3BAC378B">
            <wp:extent cx="6641663" cy="3657600"/>
            <wp:effectExtent l="0" t="0" r="6985" b="0"/>
            <wp:docPr id="1510196233" name="Obraz 3" descr="Obraz zawierający tekst, zrzut ekranu, diagram,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196233" name="Obraz 3" descr="Obraz zawierający tekst, zrzut ekranu, diagram, Wielobarwność&#10;&#10;Opis wygenerowany automatyczni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44721" cy="3659284"/>
                    </a:xfrm>
                    <a:prstGeom prst="rect">
                      <a:avLst/>
                    </a:prstGeom>
                    <a:noFill/>
                    <a:ln>
                      <a:noFill/>
                    </a:ln>
                  </pic:spPr>
                </pic:pic>
              </a:graphicData>
            </a:graphic>
          </wp:inline>
        </w:drawing>
      </w:r>
    </w:p>
    <w:p w14:paraId="222BE338" w14:textId="4E72579C" w:rsidR="00F57EDF" w:rsidRDefault="00F57EDF" w:rsidP="00F57EDF">
      <w:pPr>
        <w:jc w:val="both"/>
        <w:rPr>
          <w:rFonts w:ascii="Poppins" w:hAnsi="Poppins" w:cs="Poppins"/>
          <w:color w:val="202124"/>
          <w:spacing w:val="3"/>
          <w:shd w:val="clear" w:color="auto" w:fill="FFFFFF"/>
        </w:rPr>
      </w:pPr>
      <w:r>
        <w:rPr>
          <w:rFonts w:ascii="Poppins" w:hAnsi="Poppins" w:cs="Poppins"/>
          <w:color w:val="202124"/>
          <w:spacing w:val="3"/>
          <w:shd w:val="clear" w:color="auto" w:fill="FFFFFF"/>
        </w:rPr>
        <w:t>Oczywiście na zmianę preferencji kupujących nowe mieszkania trzeba też jednak popatrzeć przez pryzmat poszczególnych metropolii. N</w:t>
      </w:r>
      <w:r w:rsidR="006007E3">
        <w:rPr>
          <w:rFonts w:ascii="Poppins" w:hAnsi="Poppins" w:cs="Poppins"/>
          <w:color w:val="202124"/>
          <w:spacing w:val="3"/>
          <w:shd w:val="clear" w:color="auto" w:fill="FFFFFF"/>
        </w:rPr>
        <w:t xml:space="preserve">a </w:t>
      </w:r>
      <w:r>
        <w:rPr>
          <w:rFonts w:ascii="Poppins" w:hAnsi="Poppins" w:cs="Poppins"/>
          <w:color w:val="202124"/>
          <w:spacing w:val="3"/>
          <w:shd w:val="clear" w:color="auto" w:fill="FFFFFF"/>
        </w:rPr>
        <w:t>p</w:t>
      </w:r>
      <w:r w:rsidR="006007E3">
        <w:rPr>
          <w:rFonts w:ascii="Poppins" w:hAnsi="Poppins" w:cs="Poppins"/>
          <w:color w:val="202124"/>
          <w:spacing w:val="3"/>
          <w:shd w:val="clear" w:color="auto" w:fill="FFFFFF"/>
        </w:rPr>
        <w:t>rzykład</w:t>
      </w:r>
      <w:r>
        <w:rPr>
          <w:rFonts w:ascii="Poppins" w:hAnsi="Poppins" w:cs="Poppins"/>
          <w:color w:val="202124"/>
          <w:spacing w:val="3"/>
          <w:shd w:val="clear" w:color="auto" w:fill="FFFFFF"/>
        </w:rPr>
        <w:t xml:space="preserve"> udział kawalerek skurczył się wyraźnie w sprzedaży jedynie łódzkich (z 23% do 20%) i trójmiejskich (z 14% do 10%) firm deweloperskich. Natomiast we Wrocławiu wzrósł z 16% do 19%, zaś w pozostałych miastach praktycznie się nie zmienił.   </w:t>
      </w:r>
    </w:p>
    <w:p w14:paraId="08B8A6E0" w14:textId="77777777" w:rsidR="00F57EDF" w:rsidRPr="00DA01A3" w:rsidRDefault="00F57EDF" w:rsidP="00F57EDF">
      <w:pPr>
        <w:spacing w:before="100" w:beforeAutospacing="1" w:after="100" w:afterAutospacing="1"/>
        <w:jc w:val="both"/>
        <w:rPr>
          <w:rFonts w:ascii="Times New Roman" w:eastAsia="Times New Roman" w:hAnsi="Times New Roman" w:cs="Times New Roman"/>
          <w:sz w:val="24"/>
          <w:szCs w:val="24"/>
        </w:rPr>
      </w:pPr>
      <w:r w:rsidRPr="00DA01A3">
        <w:rPr>
          <w:rFonts w:ascii="Times New Roman" w:eastAsia="Times New Roman" w:hAnsi="Times New Roman" w:cs="Times New Roman"/>
          <w:noProof/>
          <w:sz w:val="24"/>
          <w:szCs w:val="24"/>
        </w:rPr>
        <w:lastRenderedPageBreak/>
        <w:drawing>
          <wp:inline distT="0" distB="0" distL="0" distR="0" wp14:anchorId="0B3A2EB9" wp14:editId="53106516">
            <wp:extent cx="6531350" cy="3600450"/>
            <wp:effectExtent l="0" t="0" r="3175" b="0"/>
            <wp:docPr id="89057456" name="Obraz 4" descr="Obraz zawierający tekst, zrzut ekranu, diagram,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57456" name="Obraz 4" descr="Obraz zawierający tekst, zrzut ekranu, diagram, Czcionka&#10;&#10;Opis wygenerowany automatyczni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36971" cy="3603549"/>
                    </a:xfrm>
                    <a:prstGeom prst="rect">
                      <a:avLst/>
                    </a:prstGeom>
                    <a:noFill/>
                    <a:ln>
                      <a:noFill/>
                    </a:ln>
                  </pic:spPr>
                </pic:pic>
              </a:graphicData>
            </a:graphic>
          </wp:inline>
        </w:drawing>
      </w:r>
    </w:p>
    <w:p w14:paraId="5F2680A8" w14:textId="0587A678" w:rsidR="00F57EDF" w:rsidRDefault="00F57EDF" w:rsidP="00F57EDF">
      <w:pPr>
        <w:jc w:val="both"/>
        <w:rPr>
          <w:rFonts w:ascii="Poppins" w:hAnsi="Poppins" w:cs="Poppins"/>
          <w:color w:val="202124"/>
          <w:spacing w:val="3"/>
          <w:shd w:val="clear" w:color="auto" w:fill="FFFFFF"/>
        </w:rPr>
      </w:pPr>
      <w:r>
        <w:rPr>
          <w:rFonts w:ascii="Poppins" w:hAnsi="Poppins" w:cs="Poppins"/>
          <w:color w:val="202124"/>
          <w:spacing w:val="3"/>
          <w:shd w:val="clear" w:color="auto" w:fill="FFFFFF"/>
        </w:rPr>
        <w:t>W Łodzi najbardziej spośród największych miast zwiększył się za to odsetek sprzedanych mieszkań dwupokojowych (z 38% do 43%). Podobne zjawisko zaobserwowaliśmy w miastach Górnośląsko-Zagłębiowskiej Metropolii (z 38% do 41%). W pozostałych metropoliach wyniki sprzedażowe firm deweloperskich wskazują na zmniejszenie tempa wyprzedaży „dwójek”.</w:t>
      </w:r>
      <w:r w:rsidRPr="00872C75">
        <w:rPr>
          <w:rFonts w:ascii="Poppins" w:hAnsi="Poppins" w:cs="Poppins"/>
          <w:color w:val="202124"/>
          <w:spacing w:val="3"/>
          <w:shd w:val="clear" w:color="auto" w:fill="FFFFFF"/>
        </w:rPr>
        <w:t xml:space="preserve"> </w:t>
      </w:r>
      <w:r>
        <w:rPr>
          <w:rFonts w:ascii="Poppins" w:hAnsi="Poppins" w:cs="Poppins"/>
          <w:color w:val="202124"/>
          <w:spacing w:val="3"/>
          <w:shd w:val="clear" w:color="auto" w:fill="FFFFFF"/>
        </w:rPr>
        <w:t>N</w:t>
      </w:r>
      <w:r w:rsidR="006007E3">
        <w:rPr>
          <w:rFonts w:ascii="Poppins" w:hAnsi="Poppins" w:cs="Poppins"/>
          <w:color w:val="202124"/>
          <w:spacing w:val="3"/>
          <w:shd w:val="clear" w:color="auto" w:fill="FFFFFF"/>
        </w:rPr>
        <w:t xml:space="preserve">a </w:t>
      </w:r>
      <w:r>
        <w:rPr>
          <w:rFonts w:ascii="Poppins" w:hAnsi="Poppins" w:cs="Poppins"/>
          <w:color w:val="202124"/>
          <w:spacing w:val="3"/>
          <w:shd w:val="clear" w:color="auto" w:fill="FFFFFF"/>
        </w:rPr>
        <w:t>p</w:t>
      </w:r>
      <w:r w:rsidR="006007E3">
        <w:rPr>
          <w:rFonts w:ascii="Poppins" w:hAnsi="Poppins" w:cs="Poppins"/>
          <w:color w:val="202124"/>
          <w:spacing w:val="3"/>
          <w:shd w:val="clear" w:color="auto" w:fill="FFFFFF"/>
        </w:rPr>
        <w:t>rzykład</w:t>
      </w:r>
      <w:r>
        <w:rPr>
          <w:rFonts w:ascii="Poppins" w:hAnsi="Poppins" w:cs="Poppins"/>
          <w:color w:val="202124"/>
          <w:spacing w:val="3"/>
          <w:shd w:val="clear" w:color="auto" w:fill="FFFFFF"/>
        </w:rPr>
        <w:t xml:space="preserve"> we Wrocławiu stanowiły one w ubiegłym roku 37% wszystkich sprzedanych mieszkań. Rok wcześniej ten odsetek wynosił 44%.</w:t>
      </w:r>
    </w:p>
    <w:p w14:paraId="6322A6CA" w14:textId="77777777" w:rsidR="00F57EDF" w:rsidRPr="00951FA7" w:rsidRDefault="00F57EDF" w:rsidP="00F57EDF">
      <w:pPr>
        <w:spacing w:after="0"/>
        <w:jc w:val="both"/>
        <w:rPr>
          <w:rFonts w:ascii="Times New Roman" w:eastAsia="Times New Roman" w:hAnsi="Times New Roman" w:cs="Times New Roman"/>
          <w:sz w:val="24"/>
          <w:szCs w:val="24"/>
        </w:rPr>
      </w:pPr>
      <w:r w:rsidRPr="00951FA7">
        <w:rPr>
          <w:rFonts w:ascii="Times New Roman" w:eastAsia="Times New Roman" w:hAnsi="Times New Roman" w:cs="Times New Roman"/>
          <w:noProof/>
          <w:sz w:val="24"/>
          <w:szCs w:val="24"/>
        </w:rPr>
        <w:drawing>
          <wp:inline distT="0" distB="0" distL="0" distR="0" wp14:anchorId="0FD001C2" wp14:editId="37EED258">
            <wp:extent cx="6423579" cy="3581400"/>
            <wp:effectExtent l="0" t="0" r="0" b="0"/>
            <wp:docPr id="919106543" name="Obraz 5" descr="Obraz zawierający tekst, zrzut ekranu, Czcionka, diagram&#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106543" name="Obraz 5" descr="Obraz zawierający tekst, zrzut ekranu, Czcionka, diagram&#10;&#10;Opis wygenerowany automatyczni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25275" cy="3582346"/>
                    </a:xfrm>
                    <a:prstGeom prst="rect">
                      <a:avLst/>
                    </a:prstGeom>
                    <a:noFill/>
                    <a:ln>
                      <a:noFill/>
                    </a:ln>
                  </pic:spPr>
                </pic:pic>
              </a:graphicData>
            </a:graphic>
          </wp:inline>
        </w:drawing>
      </w:r>
    </w:p>
    <w:p w14:paraId="26104A63" w14:textId="4F245052" w:rsidR="00F57EDF" w:rsidRPr="00732893" w:rsidRDefault="00F57EDF" w:rsidP="00F57EDF">
      <w:pPr>
        <w:jc w:val="both"/>
        <w:rPr>
          <w:rFonts w:ascii="Poppins" w:hAnsi="Poppins" w:cs="Poppins"/>
          <w:b/>
          <w:bCs/>
        </w:rPr>
      </w:pPr>
      <w:r>
        <w:rPr>
          <w:rFonts w:ascii="Poppins" w:hAnsi="Poppins" w:cs="Poppins"/>
          <w:color w:val="202124"/>
          <w:spacing w:val="3"/>
          <w:shd w:val="clear" w:color="auto" w:fill="FFFFFF"/>
        </w:rPr>
        <w:lastRenderedPageBreak/>
        <w:t xml:space="preserve">W stolicy Dolnego Śląska wyraźnie zwiększył się zaś – z 28% aż do 32% - odsetek sprzedanych mieszkań z trzema pokojami. Podobne zjawisko świadczące o poprawie siły nabywczej mieszkańców na rynkach mieszkaniowych miało miejsce niemal we wszystkich metropoliach. Przy czym np. we wspomnianej Łodzi ta poprawa skutkowała tym, że więcej osób zamiast kawalerkę kupiło mieszkanie dwupokojowe. </w:t>
      </w:r>
    </w:p>
    <w:p w14:paraId="5A028C55" w14:textId="77777777" w:rsidR="00F57EDF" w:rsidRPr="0014199D" w:rsidRDefault="00F57EDF" w:rsidP="00F57EDF">
      <w:pPr>
        <w:spacing w:before="100" w:beforeAutospacing="1" w:after="100" w:afterAutospacing="1"/>
        <w:jc w:val="both"/>
        <w:rPr>
          <w:rFonts w:ascii="Times New Roman" w:eastAsia="Times New Roman" w:hAnsi="Times New Roman" w:cs="Times New Roman"/>
          <w:sz w:val="24"/>
          <w:szCs w:val="24"/>
        </w:rPr>
      </w:pPr>
      <w:r w:rsidRPr="0014199D">
        <w:rPr>
          <w:rFonts w:ascii="Times New Roman" w:eastAsia="Times New Roman" w:hAnsi="Times New Roman" w:cs="Times New Roman"/>
          <w:noProof/>
          <w:sz w:val="24"/>
          <w:szCs w:val="24"/>
        </w:rPr>
        <w:drawing>
          <wp:inline distT="0" distB="0" distL="0" distR="0" wp14:anchorId="672B167E" wp14:editId="344ECB5D">
            <wp:extent cx="6538452" cy="3619500"/>
            <wp:effectExtent l="0" t="0" r="0" b="0"/>
            <wp:docPr id="129878445" name="Obraz 2" descr="Obraz zawierający tekst, zrzut ekranu, Czcionka, diagram&#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78445" name="Obraz 2" descr="Obraz zawierający tekst, zrzut ekranu, Czcionka, diagram&#10;&#10;Opis wygenerowany automatyczni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43388" cy="3622233"/>
                    </a:xfrm>
                    <a:prstGeom prst="rect">
                      <a:avLst/>
                    </a:prstGeom>
                    <a:noFill/>
                    <a:ln>
                      <a:noFill/>
                    </a:ln>
                  </pic:spPr>
                </pic:pic>
              </a:graphicData>
            </a:graphic>
          </wp:inline>
        </w:drawing>
      </w:r>
    </w:p>
    <w:p w14:paraId="5BAB99D4" w14:textId="3E297AD4" w:rsidR="00F57EDF" w:rsidRPr="002347D0" w:rsidRDefault="00F57EDF" w:rsidP="002347D0">
      <w:pPr>
        <w:jc w:val="both"/>
        <w:rPr>
          <w:rFonts w:ascii="Poppins" w:hAnsi="Poppins" w:cs="Poppins"/>
          <w:shd w:val="clear" w:color="auto" w:fill="FFFFFF"/>
        </w:rPr>
      </w:pPr>
      <w:r>
        <w:rPr>
          <w:rFonts w:ascii="Poppins" w:hAnsi="Poppins" w:cs="Poppins"/>
          <w:color w:val="202124"/>
          <w:spacing w:val="3"/>
          <w:shd w:val="clear" w:color="auto" w:fill="FFFFFF"/>
        </w:rPr>
        <w:t xml:space="preserve">Marek </w:t>
      </w:r>
      <w:proofErr w:type="spellStart"/>
      <w:r>
        <w:rPr>
          <w:rFonts w:ascii="Poppins" w:hAnsi="Poppins" w:cs="Poppins"/>
          <w:color w:val="202124"/>
          <w:spacing w:val="3"/>
          <w:shd w:val="clear" w:color="auto" w:fill="FFFFFF"/>
        </w:rPr>
        <w:t>Wielgo</w:t>
      </w:r>
      <w:proofErr w:type="spellEnd"/>
      <w:r>
        <w:rPr>
          <w:rFonts w:ascii="Poppins" w:hAnsi="Poppins" w:cs="Poppins"/>
          <w:color w:val="202124"/>
          <w:spacing w:val="3"/>
          <w:shd w:val="clear" w:color="auto" w:fill="FFFFFF"/>
        </w:rPr>
        <w:t xml:space="preserve"> ocenia, że wzrost udziału dużych metraży w sprzedaży firm deweloperskich może być efektem programu „Bezpieczny Kredyt 2%”. – </w:t>
      </w:r>
      <w:r w:rsidRPr="002347D0">
        <w:rPr>
          <w:rFonts w:ascii="Poppins" w:hAnsi="Poppins" w:cs="Poppins"/>
          <w:i/>
          <w:iCs/>
          <w:color w:val="202124"/>
          <w:spacing w:val="3"/>
          <w:shd w:val="clear" w:color="auto" w:fill="FFFFFF"/>
        </w:rPr>
        <w:t xml:space="preserve">Dzięki dopłacie od państwa, więcej </w:t>
      </w:r>
      <w:r w:rsidRPr="002347D0">
        <w:rPr>
          <w:rFonts w:ascii="Poppins" w:eastAsia="Times New Roman" w:hAnsi="Poppins" w:cs="Poppins"/>
          <w:i/>
          <w:iCs/>
          <w:color w:val="1B1B1B"/>
        </w:rPr>
        <w:t>małżeństw czy osób z dzieckiem mogło sobie pozwolić na trzypokojowe mieszkanie kupione za taki kredyt</w:t>
      </w:r>
      <w:r>
        <w:rPr>
          <w:rFonts w:ascii="Poppins" w:eastAsia="Times New Roman" w:hAnsi="Poppins" w:cs="Poppins"/>
          <w:color w:val="1B1B1B"/>
        </w:rPr>
        <w:t xml:space="preserve"> – komentuje e</w:t>
      </w:r>
      <w:r>
        <w:rPr>
          <w:rFonts w:ascii="Poppins" w:hAnsi="Poppins" w:cs="Poppins"/>
          <w:color w:val="202124"/>
          <w:spacing w:val="3"/>
          <w:shd w:val="clear" w:color="auto" w:fill="FFFFFF"/>
        </w:rPr>
        <w:t>kspert portalu RynekPierwotny.pl.</w:t>
      </w:r>
      <w:r w:rsidR="002347D0">
        <w:rPr>
          <w:rFonts w:ascii="Poppins" w:hAnsi="Poppins" w:cs="Poppins"/>
          <w:color w:val="202124"/>
          <w:spacing w:val="3"/>
          <w:shd w:val="clear" w:color="auto" w:fill="FFFFFF"/>
        </w:rPr>
        <w:t xml:space="preserve"> </w:t>
      </w:r>
      <w:r>
        <w:rPr>
          <w:rFonts w:ascii="Poppins" w:hAnsi="Poppins" w:cs="Poppins"/>
          <w:color w:val="202124"/>
          <w:spacing w:val="3"/>
          <w:shd w:val="clear" w:color="auto" w:fill="FFFFFF"/>
        </w:rPr>
        <w:t>I przypomina, że j</w:t>
      </w:r>
      <w:r>
        <w:rPr>
          <w:rFonts w:ascii="Poppins" w:eastAsia="Times New Roman" w:hAnsi="Poppins" w:cs="Poppins"/>
          <w:color w:val="1B1B1B"/>
        </w:rPr>
        <w:t xml:space="preserve">ego </w:t>
      </w:r>
      <w:r w:rsidRPr="004A2068">
        <w:rPr>
          <w:rFonts w:ascii="Poppins" w:eastAsia="Times New Roman" w:hAnsi="Poppins" w:cs="Poppins"/>
          <w:color w:val="1B1B1B"/>
        </w:rPr>
        <w:t>maksymaln</w:t>
      </w:r>
      <w:r>
        <w:rPr>
          <w:rFonts w:ascii="Poppins" w:eastAsia="Times New Roman" w:hAnsi="Poppins" w:cs="Poppins"/>
          <w:color w:val="1B1B1B"/>
        </w:rPr>
        <w:t>a</w:t>
      </w:r>
      <w:r w:rsidRPr="004A2068">
        <w:rPr>
          <w:rFonts w:ascii="Poppins" w:eastAsia="Times New Roman" w:hAnsi="Poppins" w:cs="Poppins"/>
          <w:color w:val="1B1B1B"/>
        </w:rPr>
        <w:t xml:space="preserve"> kwot</w:t>
      </w:r>
      <w:r>
        <w:rPr>
          <w:rFonts w:ascii="Poppins" w:eastAsia="Times New Roman" w:hAnsi="Poppins" w:cs="Poppins"/>
          <w:color w:val="1B1B1B"/>
        </w:rPr>
        <w:t>a</w:t>
      </w:r>
      <w:r w:rsidRPr="004A2068">
        <w:rPr>
          <w:rFonts w:ascii="Poppins" w:eastAsia="Times New Roman" w:hAnsi="Poppins" w:cs="Poppins"/>
          <w:color w:val="1B1B1B"/>
        </w:rPr>
        <w:t xml:space="preserve"> </w:t>
      </w:r>
      <w:r>
        <w:rPr>
          <w:rFonts w:ascii="Poppins" w:eastAsia="Times New Roman" w:hAnsi="Poppins" w:cs="Poppins"/>
          <w:color w:val="1B1B1B"/>
        </w:rPr>
        <w:t xml:space="preserve">wynosiła </w:t>
      </w:r>
      <w:r w:rsidRPr="004A2068">
        <w:rPr>
          <w:rFonts w:ascii="Poppins" w:eastAsia="Times New Roman" w:hAnsi="Poppins" w:cs="Poppins"/>
          <w:color w:val="1B1B1B"/>
        </w:rPr>
        <w:t>600 tys. zł</w:t>
      </w:r>
      <w:r>
        <w:rPr>
          <w:rFonts w:ascii="Poppins" w:eastAsia="Times New Roman" w:hAnsi="Poppins" w:cs="Poppins"/>
          <w:color w:val="1B1B1B"/>
        </w:rPr>
        <w:t xml:space="preserve">. Beneficjenci programu „Bezpieczny Kredyt 2% mogli też dysponować wkładem własnym, którego wysokość nie mogła przekraczać </w:t>
      </w:r>
      <w:r w:rsidRPr="004A2068">
        <w:rPr>
          <w:rFonts w:ascii="Poppins" w:eastAsia="Times New Roman" w:hAnsi="Poppins" w:cs="Poppins"/>
          <w:color w:val="1B1B1B"/>
        </w:rPr>
        <w:t>200 tys. zł</w:t>
      </w:r>
      <w:r>
        <w:rPr>
          <w:rFonts w:ascii="Poppins" w:eastAsia="Times New Roman" w:hAnsi="Poppins" w:cs="Poppins"/>
          <w:color w:val="1B1B1B"/>
        </w:rPr>
        <w:t xml:space="preserve">. Mając taką kwotę do dyspozycji można było przebierać w ofertach mieszkań trzypokojowych. Ich atutem jest najniższa cena w przeliczeniu na metr kwadratowy. </w:t>
      </w:r>
      <w:r w:rsidRPr="00B10796">
        <w:rPr>
          <w:rFonts w:ascii="Poppins" w:hAnsi="Poppins" w:cs="Poppins"/>
        </w:rPr>
        <w:t xml:space="preserve">Dane </w:t>
      </w:r>
      <w:r>
        <w:rPr>
          <w:rFonts w:ascii="Poppins" w:hAnsi="Poppins" w:cs="Poppins"/>
        </w:rPr>
        <w:t>BIG DATA R</w:t>
      </w:r>
      <w:r w:rsidRPr="00B10796">
        <w:rPr>
          <w:rFonts w:ascii="Poppins" w:hAnsi="Poppins" w:cs="Poppins"/>
        </w:rPr>
        <w:t>ynek</w:t>
      </w:r>
      <w:r>
        <w:rPr>
          <w:rFonts w:ascii="Poppins" w:hAnsi="Poppins" w:cs="Poppins"/>
        </w:rPr>
        <w:t>P</w:t>
      </w:r>
      <w:r w:rsidRPr="00B10796">
        <w:rPr>
          <w:rFonts w:ascii="Poppins" w:hAnsi="Poppins" w:cs="Poppins"/>
        </w:rPr>
        <w:t xml:space="preserve">ierwotny.pl pokazują, że </w:t>
      </w:r>
      <w:r w:rsidRPr="00B10796">
        <w:rPr>
          <w:rFonts w:ascii="Poppins" w:hAnsi="Poppins" w:cs="Poppins"/>
          <w:shd w:val="clear" w:color="auto" w:fill="FFFFFF"/>
        </w:rPr>
        <w:t xml:space="preserve">w </w:t>
      </w:r>
      <w:r>
        <w:rPr>
          <w:rFonts w:ascii="Poppins" w:hAnsi="Poppins" w:cs="Poppins"/>
          <w:shd w:val="clear" w:color="auto" w:fill="FFFFFF"/>
        </w:rPr>
        <w:t xml:space="preserve">Warszawie, </w:t>
      </w:r>
      <w:r w:rsidRPr="00B10796">
        <w:rPr>
          <w:rFonts w:ascii="Poppins" w:hAnsi="Poppins" w:cs="Poppins"/>
          <w:shd w:val="clear" w:color="auto" w:fill="FFFFFF"/>
        </w:rPr>
        <w:t>Wrocławiu</w:t>
      </w:r>
      <w:r>
        <w:rPr>
          <w:rFonts w:ascii="Poppins" w:hAnsi="Poppins" w:cs="Poppins"/>
          <w:shd w:val="clear" w:color="auto" w:fill="FFFFFF"/>
        </w:rPr>
        <w:t xml:space="preserve"> i Trójmieście</w:t>
      </w:r>
      <w:r w:rsidRPr="00B10796">
        <w:rPr>
          <w:rFonts w:ascii="Poppins" w:hAnsi="Poppins" w:cs="Poppins"/>
          <w:shd w:val="clear" w:color="auto" w:fill="FFFFFF"/>
        </w:rPr>
        <w:t xml:space="preserve"> </w:t>
      </w:r>
      <w:r>
        <w:rPr>
          <w:rFonts w:ascii="Poppins" w:hAnsi="Poppins" w:cs="Poppins"/>
          <w:shd w:val="clear" w:color="auto" w:fill="FFFFFF"/>
        </w:rPr>
        <w:t xml:space="preserve">są one średnio </w:t>
      </w:r>
      <w:r w:rsidRPr="00B10796">
        <w:rPr>
          <w:rFonts w:ascii="Poppins" w:hAnsi="Poppins" w:cs="Poppins"/>
          <w:shd w:val="clear" w:color="auto" w:fill="FFFFFF"/>
        </w:rPr>
        <w:t xml:space="preserve">o 30% </w:t>
      </w:r>
      <w:r>
        <w:rPr>
          <w:rFonts w:ascii="Poppins" w:hAnsi="Poppins" w:cs="Poppins"/>
          <w:shd w:val="clear" w:color="auto" w:fill="FFFFFF"/>
        </w:rPr>
        <w:t xml:space="preserve">tańsze </w:t>
      </w:r>
      <w:r w:rsidRPr="00B10796">
        <w:rPr>
          <w:rFonts w:ascii="Poppins" w:hAnsi="Poppins" w:cs="Poppins"/>
          <w:shd w:val="clear" w:color="auto" w:fill="FFFFFF"/>
        </w:rPr>
        <w:t xml:space="preserve">od </w:t>
      </w:r>
      <w:r>
        <w:rPr>
          <w:rFonts w:ascii="Poppins" w:hAnsi="Poppins" w:cs="Poppins"/>
          <w:shd w:val="clear" w:color="auto" w:fill="FFFFFF"/>
        </w:rPr>
        <w:t>kawalerek</w:t>
      </w:r>
      <w:r w:rsidRPr="00B10796">
        <w:rPr>
          <w:rFonts w:ascii="Poppins" w:hAnsi="Poppins" w:cs="Poppins"/>
          <w:shd w:val="clear" w:color="auto" w:fill="FFFFFF"/>
        </w:rPr>
        <w:t>.</w:t>
      </w:r>
    </w:p>
    <w:sectPr w:rsidR="00F57EDF" w:rsidRPr="002347D0" w:rsidSect="00C73686">
      <w:headerReference w:type="default" r:id="rId15"/>
      <w:pgSz w:w="11906" w:h="16838"/>
      <w:pgMar w:top="720" w:right="720" w:bottom="720" w:left="720" w:header="113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EB9BF" w14:textId="77777777" w:rsidR="00C73686" w:rsidRDefault="00C73686" w:rsidP="00E533BD">
      <w:pPr>
        <w:spacing w:after="0" w:line="240" w:lineRule="auto"/>
      </w:pPr>
      <w:r>
        <w:separator/>
      </w:r>
    </w:p>
  </w:endnote>
  <w:endnote w:type="continuationSeparator" w:id="0">
    <w:p w14:paraId="3A1B32E6" w14:textId="77777777" w:rsidR="00C73686" w:rsidRDefault="00C73686" w:rsidP="00E53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oppins">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0E533" w14:textId="77777777" w:rsidR="00C73686" w:rsidRDefault="00C73686" w:rsidP="00E533BD">
      <w:pPr>
        <w:spacing w:after="0" w:line="240" w:lineRule="auto"/>
      </w:pPr>
      <w:r>
        <w:separator/>
      </w:r>
    </w:p>
  </w:footnote>
  <w:footnote w:type="continuationSeparator" w:id="0">
    <w:p w14:paraId="4A4626F6" w14:textId="77777777" w:rsidR="00C73686" w:rsidRDefault="00C73686" w:rsidP="00E53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F483D" w14:textId="31C0457E" w:rsidR="00E533BD" w:rsidRDefault="00DA7D8F">
    <w:pPr>
      <w:pStyle w:val="Nagwek"/>
    </w:pPr>
    <w:r>
      <w:rPr>
        <w:noProof/>
      </w:rPr>
      <w:drawing>
        <wp:anchor distT="0" distB="0" distL="114300" distR="114300" simplePos="0" relativeHeight="251658240" behindDoc="0" locked="0" layoutInCell="1" allowOverlap="1" wp14:anchorId="6049997B" wp14:editId="064C2B69">
          <wp:simplePos x="0" y="0"/>
          <wp:positionH relativeFrom="page">
            <wp:posOffset>28575</wp:posOffset>
          </wp:positionH>
          <wp:positionV relativeFrom="paragraph">
            <wp:posOffset>-624205</wp:posOffset>
          </wp:positionV>
          <wp:extent cx="7496810" cy="1033145"/>
          <wp:effectExtent l="0" t="0" r="0" b="0"/>
          <wp:wrapThrough wrapText="bothSides">
            <wp:wrapPolygon edited="0">
              <wp:start x="1427" y="4779"/>
              <wp:lineTo x="1153" y="6771"/>
              <wp:lineTo x="878" y="9559"/>
              <wp:lineTo x="933" y="15533"/>
              <wp:lineTo x="9331" y="18321"/>
              <wp:lineTo x="19211" y="19117"/>
              <wp:lineTo x="20693" y="19117"/>
              <wp:lineTo x="20693" y="18321"/>
              <wp:lineTo x="18717" y="11948"/>
              <wp:lineTo x="18826" y="8364"/>
              <wp:lineTo x="16302" y="7567"/>
              <wp:lineTo x="1921" y="4779"/>
              <wp:lineTo x="1427" y="4779"/>
            </wp:wrapPolygon>
          </wp:wrapThrough>
          <wp:docPr id="3" name="Graf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a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7" r="7"/>
                  <a:stretch>
                    <a:fillRect/>
                  </a:stretch>
                </pic:blipFill>
                <pic:spPr>
                  <a:xfrm>
                    <a:off x="0" y="0"/>
                    <a:ext cx="7496810" cy="1033145"/>
                  </a:xfrm>
                  <a:prstGeom prst="rect">
                    <a:avLst/>
                  </a:prstGeom>
                </pic:spPr>
              </pic:pic>
            </a:graphicData>
          </a:graphic>
          <wp14:sizeRelH relativeFrom="margin">
            <wp14:pctWidth>0</wp14:pctWidth>
          </wp14:sizeRelH>
          <wp14:sizeRelV relativeFrom="margin">
            <wp14:pctHeight>0</wp14:pctHeight>
          </wp14:sizeRelV>
        </wp:anchor>
      </w:drawing>
    </w:r>
    <w:r w:rsidR="0018306C">
      <w:ptab w:relativeTo="margin" w:alignment="center" w:leader="none"/>
    </w:r>
    <w:r w:rsidR="00FB7A20">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32F6"/>
    <w:multiLevelType w:val="hybridMultilevel"/>
    <w:tmpl w:val="8B5E12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984B6B"/>
    <w:multiLevelType w:val="hybridMultilevel"/>
    <w:tmpl w:val="50A420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8247B3"/>
    <w:multiLevelType w:val="hybridMultilevel"/>
    <w:tmpl w:val="B94E577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026AD3"/>
    <w:multiLevelType w:val="hybridMultilevel"/>
    <w:tmpl w:val="E5B6F8C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754D1B"/>
    <w:multiLevelType w:val="hybridMultilevel"/>
    <w:tmpl w:val="7B4813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752262"/>
    <w:multiLevelType w:val="hybridMultilevel"/>
    <w:tmpl w:val="A9B64E3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0250DA"/>
    <w:multiLevelType w:val="hybridMultilevel"/>
    <w:tmpl w:val="F6F6F30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FB959DD"/>
    <w:multiLevelType w:val="hybridMultilevel"/>
    <w:tmpl w:val="78C46C7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A794B54"/>
    <w:multiLevelType w:val="hybridMultilevel"/>
    <w:tmpl w:val="58BC9FC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80355305">
    <w:abstractNumId w:val="4"/>
  </w:num>
  <w:num w:numId="2" w16cid:durableId="555049282">
    <w:abstractNumId w:val="0"/>
  </w:num>
  <w:num w:numId="3" w16cid:durableId="1982610543">
    <w:abstractNumId w:val="2"/>
  </w:num>
  <w:num w:numId="4" w16cid:durableId="1022822128">
    <w:abstractNumId w:val="1"/>
  </w:num>
  <w:num w:numId="5" w16cid:durableId="1641381131">
    <w:abstractNumId w:val="3"/>
  </w:num>
  <w:num w:numId="6" w16cid:durableId="1967351203">
    <w:abstractNumId w:val="5"/>
  </w:num>
  <w:num w:numId="7" w16cid:durableId="1589997633">
    <w:abstractNumId w:val="6"/>
  </w:num>
  <w:num w:numId="8" w16cid:durableId="1244800905">
    <w:abstractNumId w:val="7"/>
  </w:num>
  <w:num w:numId="9" w16cid:durableId="15125713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3BD"/>
    <w:rsid w:val="000040CF"/>
    <w:rsid w:val="000061D9"/>
    <w:rsid w:val="0001321E"/>
    <w:rsid w:val="00015274"/>
    <w:rsid w:val="00016290"/>
    <w:rsid w:val="000255B0"/>
    <w:rsid w:val="00030034"/>
    <w:rsid w:val="00033F82"/>
    <w:rsid w:val="00044139"/>
    <w:rsid w:val="00057F54"/>
    <w:rsid w:val="000805F6"/>
    <w:rsid w:val="000A2552"/>
    <w:rsid w:val="000B6CBA"/>
    <w:rsid w:val="000C2C30"/>
    <w:rsid w:val="000C3B91"/>
    <w:rsid w:val="000C43DB"/>
    <w:rsid w:val="000D04DB"/>
    <w:rsid w:val="000D7339"/>
    <w:rsid w:val="000E427E"/>
    <w:rsid w:val="000F0B92"/>
    <w:rsid w:val="000F2A84"/>
    <w:rsid w:val="000F546E"/>
    <w:rsid w:val="001003CF"/>
    <w:rsid w:val="00106C6C"/>
    <w:rsid w:val="001175D2"/>
    <w:rsid w:val="00140292"/>
    <w:rsid w:val="001458E9"/>
    <w:rsid w:val="001520CE"/>
    <w:rsid w:val="00156998"/>
    <w:rsid w:val="00157E64"/>
    <w:rsid w:val="00160B41"/>
    <w:rsid w:val="001627F6"/>
    <w:rsid w:val="00171955"/>
    <w:rsid w:val="00176DE5"/>
    <w:rsid w:val="001817C9"/>
    <w:rsid w:val="00182A25"/>
    <w:rsid w:val="00182F7C"/>
    <w:rsid w:val="0018306C"/>
    <w:rsid w:val="001910E0"/>
    <w:rsid w:val="00191EFD"/>
    <w:rsid w:val="00193531"/>
    <w:rsid w:val="00194693"/>
    <w:rsid w:val="001B7763"/>
    <w:rsid w:val="001B7D4C"/>
    <w:rsid w:val="001D6209"/>
    <w:rsid w:val="001E049E"/>
    <w:rsid w:val="001E19C9"/>
    <w:rsid w:val="001F7207"/>
    <w:rsid w:val="002063FA"/>
    <w:rsid w:val="0021499E"/>
    <w:rsid w:val="00222C72"/>
    <w:rsid w:val="00224639"/>
    <w:rsid w:val="002347D0"/>
    <w:rsid w:val="00235F66"/>
    <w:rsid w:val="00237791"/>
    <w:rsid w:val="00240AAA"/>
    <w:rsid w:val="002437B2"/>
    <w:rsid w:val="0025201F"/>
    <w:rsid w:val="00265641"/>
    <w:rsid w:val="0027120F"/>
    <w:rsid w:val="00286BC4"/>
    <w:rsid w:val="002879DA"/>
    <w:rsid w:val="00290153"/>
    <w:rsid w:val="00293F01"/>
    <w:rsid w:val="00297B78"/>
    <w:rsid w:val="002B4C7A"/>
    <w:rsid w:val="002C3A0A"/>
    <w:rsid w:val="002E6753"/>
    <w:rsid w:val="0030376C"/>
    <w:rsid w:val="003174EA"/>
    <w:rsid w:val="00320359"/>
    <w:rsid w:val="00331728"/>
    <w:rsid w:val="00337961"/>
    <w:rsid w:val="0034639F"/>
    <w:rsid w:val="00367682"/>
    <w:rsid w:val="00377A19"/>
    <w:rsid w:val="00381833"/>
    <w:rsid w:val="00393773"/>
    <w:rsid w:val="00396407"/>
    <w:rsid w:val="00397794"/>
    <w:rsid w:val="003A57C7"/>
    <w:rsid w:val="003B694D"/>
    <w:rsid w:val="003C6CC0"/>
    <w:rsid w:val="003C74F0"/>
    <w:rsid w:val="003D28BE"/>
    <w:rsid w:val="003E2BB2"/>
    <w:rsid w:val="003F4D95"/>
    <w:rsid w:val="00402AE3"/>
    <w:rsid w:val="004069F6"/>
    <w:rsid w:val="00414F41"/>
    <w:rsid w:val="004155E9"/>
    <w:rsid w:val="00416008"/>
    <w:rsid w:val="00421117"/>
    <w:rsid w:val="00423621"/>
    <w:rsid w:val="004272E8"/>
    <w:rsid w:val="00442EBD"/>
    <w:rsid w:val="004445FB"/>
    <w:rsid w:val="00445E56"/>
    <w:rsid w:val="0045420A"/>
    <w:rsid w:val="00463B08"/>
    <w:rsid w:val="004657A0"/>
    <w:rsid w:val="00473987"/>
    <w:rsid w:val="00490F26"/>
    <w:rsid w:val="004A0B5A"/>
    <w:rsid w:val="004A0DB1"/>
    <w:rsid w:val="004A10FC"/>
    <w:rsid w:val="004A6245"/>
    <w:rsid w:val="004B34BB"/>
    <w:rsid w:val="004B4D45"/>
    <w:rsid w:val="004C4395"/>
    <w:rsid w:val="004D2156"/>
    <w:rsid w:val="004E080E"/>
    <w:rsid w:val="004F2795"/>
    <w:rsid w:val="004F791A"/>
    <w:rsid w:val="00504683"/>
    <w:rsid w:val="00507867"/>
    <w:rsid w:val="00507B27"/>
    <w:rsid w:val="005133C3"/>
    <w:rsid w:val="00513552"/>
    <w:rsid w:val="00527CF1"/>
    <w:rsid w:val="005329D7"/>
    <w:rsid w:val="005428ED"/>
    <w:rsid w:val="00542CD6"/>
    <w:rsid w:val="00546023"/>
    <w:rsid w:val="005546D2"/>
    <w:rsid w:val="005637F8"/>
    <w:rsid w:val="00565B3F"/>
    <w:rsid w:val="00571D71"/>
    <w:rsid w:val="005755A3"/>
    <w:rsid w:val="005756AC"/>
    <w:rsid w:val="005859DA"/>
    <w:rsid w:val="00595106"/>
    <w:rsid w:val="005B6EC7"/>
    <w:rsid w:val="005D03E9"/>
    <w:rsid w:val="005D60E5"/>
    <w:rsid w:val="005E154B"/>
    <w:rsid w:val="005F6756"/>
    <w:rsid w:val="006007E3"/>
    <w:rsid w:val="006170B5"/>
    <w:rsid w:val="00621EAB"/>
    <w:rsid w:val="00627751"/>
    <w:rsid w:val="00635546"/>
    <w:rsid w:val="00644B17"/>
    <w:rsid w:val="00655E69"/>
    <w:rsid w:val="0066231E"/>
    <w:rsid w:val="00662DF1"/>
    <w:rsid w:val="00663B9F"/>
    <w:rsid w:val="006644B0"/>
    <w:rsid w:val="00693D0A"/>
    <w:rsid w:val="006A6D7E"/>
    <w:rsid w:val="006B024B"/>
    <w:rsid w:val="006C07E3"/>
    <w:rsid w:val="006C3B90"/>
    <w:rsid w:val="006C50AA"/>
    <w:rsid w:val="006C6EED"/>
    <w:rsid w:val="006D1A53"/>
    <w:rsid w:val="006D4C6A"/>
    <w:rsid w:val="006E144D"/>
    <w:rsid w:val="006E194D"/>
    <w:rsid w:val="006E7F1F"/>
    <w:rsid w:val="006F0A66"/>
    <w:rsid w:val="006F1831"/>
    <w:rsid w:val="006F28DE"/>
    <w:rsid w:val="006F6E85"/>
    <w:rsid w:val="00705C06"/>
    <w:rsid w:val="0071382F"/>
    <w:rsid w:val="00715488"/>
    <w:rsid w:val="007218F7"/>
    <w:rsid w:val="00725646"/>
    <w:rsid w:val="00734992"/>
    <w:rsid w:val="00744A6F"/>
    <w:rsid w:val="0077426E"/>
    <w:rsid w:val="00774519"/>
    <w:rsid w:val="007769A5"/>
    <w:rsid w:val="00782C3E"/>
    <w:rsid w:val="00793B7D"/>
    <w:rsid w:val="00797173"/>
    <w:rsid w:val="00797ADB"/>
    <w:rsid w:val="007A2161"/>
    <w:rsid w:val="007A6CDF"/>
    <w:rsid w:val="007B521A"/>
    <w:rsid w:val="007C0E15"/>
    <w:rsid w:val="007E3768"/>
    <w:rsid w:val="007F16BC"/>
    <w:rsid w:val="007F36FF"/>
    <w:rsid w:val="007F3FFA"/>
    <w:rsid w:val="00801EEA"/>
    <w:rsid w:val="008046EB"/>
    <w:rsid w:val="0081634E"/>
    <w:rsid w:val="00825AD9"/>
    <w:rsid w:val="00836B91"/>
    <w:rsid w:val="00864469"/>
    <w:rsid w:val="00880FA3"/>
    <w:rsid w:val="00884A9A"/>
    <w:rsid w:val="008900C9"/>
    <w:rsid w:val="00890C88"/>
    <w:rsid w:val="00892A7C"/>
    <w:rsid w:val="0089772D"/>
    <w:rsid w:val="008A0725"/>
    <w:rsid w:val="008A109B"/>
    <w:rsid w:val="008A7207"/>
    <w:rsid w:val="008C1E84"/>
    <w:rsid w:val="008C4684"/>
    <w:rsid w:val="008C55BD"/>
    <w:rsid w:val="008E05E7"/>
    <w:rsid w:val="008E239F"/>
    <w:rsid w:val="008F7B1C"/>
    <w:rsid w:val="00900A61"/>
    <w:rsid w:val="00911DBD"/>
    <w:rsid w:val="0091278B"/>
    <w:rsid w:val="00922C14"/>
    <w:rsid w:val="009232E8"/>
    <w:rsid w:val="00965523"/>
    <w:rsid w:val="00967D21"/>
    <w:rsid w:val="00974901"/>
    <w:rsid w:val="00985680"/>
    <w:rsid w:val="00990AA6"/>
    <w:rsid w:val="009A324B"/>
    <w:rsid w:val="009A3D85"/>
    <w:rsid w:val="009A4AA4"/>
    <w:rsid w:val="009A5BD7"/>
    <w:rsid w:val="009C0376"/>
    <w:rsid w:val="009C2310"/>
    <w:rsid w:val="009C234B"/>
    <w:rsid w:val="009D0FCC"/>
    <w:rsid w:val="009E01D9"/>
    <w:rsid w:val="009E428A"/>
    <w:rsid w:val="00A0126E"/>
    <w:rsid w:val="00A048B6"/>
    <w:rsid w:val="00A13878"/>
    <w:rsid w:val="00A17286"/>
    <w:rsid w:val="00A17D1B"/>
    <w:rsid w:val="00A20C68"/>
    <w:rsid w:val="00A22BCB"/>
    <w:rsid w:val="00A24093"/>
    <w:rsid w:val="00A332C2"/>
    <w:rsid w:val="00A36AA9"/>
    <w:rsid w:val="00A51580"/>
    <w:rsid w:val="00A547BE"/>
    <w:rsid w:val="00A64680"/>
    <w:rsid w:val="00A64C0A"/>
    <w:rsid w:val="00A64E58"/>
    <w:rsid w:val="00A81996"/>
    <w:rsid w:val="00A90FB0"/>
    <w:rsid w:val="00A976B1"/>
    <w:rsid w:val="00AB5587"/>
    <w:rsid w:val="00AC5BC3"/>
    <w:rsid w:val="00AC69E1"/>
    <w:rsid w:val="00AE6E6B"/>
    <w:rsid w:val="00AF0041"/>
    <w:rsid w:val="00B00D27"/>
    <w:rsid w:val="00B02388"/>
    <w:rsid w:val="00B141B2"/>
    <w:rsid w:val="00B17438"/>
    <w:rsid w:val="00B17444"/>
    <w:rsid w:val="00B24C21"/>
    <w:rsid w:val="00B33F85"/>
    <w:rsid w:val="00B41385"/>
    <w:rsid w:val="00B420E5"/>
    <w:rsid w:val="00B42848"/>
    <w:rsid w:val="00B430F1"/>
    <w:rsid w:val="00B4311F"/>
    <w:rsid w:val="00B45E63"/>
    <w:rsid w:val="00B461E8"/>
    <w:rsid w:val="00B5353F"/>
    <w:rsid w:val="00B56DBE"/>
    <w:rsid w:val="00B6641D"/>
    <w:rsid w:val="00B675F4"/>
    <w:rsid w:val="00B732CF"/>
    <w:rsid w:val="00B73FDC"/>
    <w:rsid w:val="00B82FD0"/>
    <w:rsid w:val="00B83697"/>
    <w:rsid w:val="00B84AD2"/>
    <w:rsid w:val="00B87EAA"/>
    <w:rsid w:val="00B90C5F"/>
    <w:rsid w:val="00B93094"/>
    <w:rsid w:val="00BA4564"/>
    <w:rsid w:val="00BA48E5"/>
    <w:rsid w:val="00BA4AE2"/>
    <w:rsid w:val="00BB01A0"/>
    <w:rsid w:val="00BB3040"/>
    <w:rsid w:val="00BB47F1"/>
    <w:rsid w:val="00BB7449"/>
    <w:rsid w:val="00BC0CC0"/>
    <w:rsid w:val="00BC1411"/>
    <w:rsid w:val="00BD26FC"/>
    <w:rsid w:val="00BE548A"/>
    <w:rsid w:val="00BE63BB"/>
    <w:rsid w:val="00BF285E"/>
    <w:rsid w:val="00BF2F46"/>
    <w:rsid w:val="00BF430F"/>
    <w:rsid w:val="00C05921"/>
    <w:rsid w:val="00C12248"/>
    <w:rsid w:val="00C124C5"/>
    <w:rsid w:val="00C35B7E"/>
    <w:rsid w:val="00C45459"/>
    <w:rsid w:val="00C4559F"/>
    <w:rsid w:val="00C50A12"/>
    <w:rsid w:val="00C6317D"/>
    <w:rsid w:val="00C64259"/>
    <w:rsid w:val="00C73133"/>
    <w:rsid w:val="00C73686"/>
    <w:rsid w:val="00C86FBD"/>
    <w:rsid w:val="00CA2956"/>
    <w:rsid w:val="00CA33AD"/>
    <w:rsid w:val="00CA3F2B"/>
    <w:rsid w:val="00CA47CA"/>
    <w:rsid w:val="00CB652C"/>
    <w:rsid w:val="00CB6FF7"/>
    <w:rsid w:val="00CB7C00"/>
    <w:rsid w:val="00CC4198"/>
    <w:rsid w:val="00CC5797"/>
    <w:rsid w:val="00CC7AAF"/>
    <w:rsid w:val="00CD15B5"/>
    <w:rsid w:val="00CD3ED3"/>
    <w:rsid w:val="00CD7DD7"/>
    <w:rsid w:val="00CF036B"/>
    <w:rsid w:val="00D061AE"/>
    <w:rsid w:val="00D1044B"/>
    <w:rsid w:val="00D10E8E"/>
    <w:rsid w:val="00D26C54"/>
    <w:rsid w:val="00D3042F"/>
    <w:rsid w:val="00D320B2"/>
    <w:rsid w:val="00D40E5E"/>
    <w:rsid w:val="00D4221F"/>
    <w:rsid w:val="00D455CB"/>
    <w:rsid w:val="00D56734"/>
    <w:rsid w:val="00D56A8C"/>
    <w:rsid w:val="00D61549"/>
    <w:rsid w:val="00D6508A"/>
    <w:rsid w:val="00D67EAA"/>
    <w:rsid w:val="00D75392"/>
    <w:rsid w:val="00D765D7"/>
    <w:rsid w:val="00D87125"/>
    <w:rsid w:val="00D96674"/>
    <w:rsid w:val="00DA0E39"/>
    <w:rsid w:val="00DA494D"/>
    <w:rsid w:val="00DA4DED"/>
    <w:rsid w:val="00DA72F4"/>
    <w:rsid w:val="00DA75D1"/>
    <w:rsid w:val="00DA7D8F"/>
    <w:rsid w:val="00DB22D0"/>
    <w:rsid w:val="00DB60A0"/>
    <w:rsid w:val="00DC1870"/>
    <w:rsid w:val="00DD6A44"/>
    <w:rsid w:val="00DD6B83"/>
    <w:rsid w:val="00DE62F0"/>
    <w:rsid w:val="00DF0CBB"/>
    <w:rsid w:val="00DF5A6C"/>
    <w:rsid w:val="00E013BA"/>
    <w:rsid w:val="00E019C6"/>
    <w:rsid w:val="00E16302"/>
    <w:rsid w:val="00E25AAC"/>
    <w:rsid w:val="00E3093D"/>
    <w:rsid w:val="00E32A58"/>
    <w:rsid w:val="00E32F03"/>
    <w:rsid w:val="00E360FC"/>
    <w:rsid w:val="00E3719E"/>
    <w:rsid w:val="00E440F2"/>
    <w:rsid w:val="00E533BD"/>
    <w:rsid w:val="00E55E92"/>
    <w:rsid w:val="00E57F65"/>
    <w:rsid w:val="00E66CC0"/>
    <w:rsid w:val="00E73303"/>
    <w:rsid w:val="00E7780F"/>
    <w:rsid w:val="00E84E26"/>
    <w:rsid w:val="00EA18AB"/>
    <w:rsid w:val="00EA1CD3"/>
    <w:rsid w:val="00EA269B"/>
    <w:rsid w:val="00EA3946"/>
    <w:rsid w:val="00EA4D27"/>
    <w:rsid w:val="00EB21F2"/>
    <w:rsid w:val="00EC10B9"/>
    <w:rsid w:val="00EC62D6"/>
    <w:rsid w:val="00EC6F9C"/>
    <w:rsid w:val="00ED61B2"/>
    <w:rsid w:val="00ED6582"/>
    <w:rsid w:val="00ED6CE9"/>
    <w:rsid w:val="00ED7F1F"/>
    <w:rsid w:val="00EE0A0A"/>
    <w:rsid w:val="00EE475D"/>
    <w:rsid w:val="00F06678"/>
    <w:rsid w:val="00F07241"/>
    <w:rsid w:val="00F07A07"/>
    <w:rsid w:val="00F21411"/>
    <w:rsid w:val="00F2311C"/>
    <w:rsid w:val="00F27BE9"/>
    <w:rsid w:val="00F342C3"/>
    <w:rsid w:val="00F52BC1"/>
    <w:rsid w:val="00F548A5"/>
    <w:rsid w:val="00F57EDF"/>
    <w:rsid w:val="00F60C6C"/>
    <w:rsid w:val="00F621C9"/>
    <w:rsid w:val="00F7097A"/>
    <w:rsid w:val="00F72030"/>
    <w:rsid w:val="00F74B4F"/>
    <w:rsid w:val="00F77E05"/>
    <w:rsid w:val="00F90263"/>
    <w:rsid w:val="00F9538E"/>
    <w:rsid w:val="00F95822"/>
    <w:rsid w:val="00FA42CC"/>
    <w:rsid w:val="00FB1774"/>
    <w:rsid w:val="00FB40F8"/>
    <w:rsid w:val="00FB7A20"/>
    <w:rsid w:val="00FC6E67"/>
    <w:rsid w:val="00FD5C22"/>
    <w:rsid w:val="00FF1AE0"/>
    <w:rsid w:val="00FF4E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EF5DA"/>
  <w15:chartTrackingRefBased/>
  <w15:docId w15:val="{F36E7F9C-64BC-455F-93AF-CCB032D68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533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33BD"/>
  </w:style>
  <w:style w:type="paragraph" w:styleId="Stopka">
    <w:name w:val="footer"/>
    <w:basedOn w:val="Normalny"/>
    <w:link w:val="StopkaZnak"/>
    <w:uiPriority w:val="99"/>
    <w:unhideWhenUsed/>
    <w:rsid w:val="00E533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33BD"/>
  </w:style>
  <w:style w:type="paragraph" w:styleId="NormalnyWeb">
    <w:name w:val="Normal (Web)"/>
    <w:basedOn w:val="Normalny"/>
    <w:uiPriority w:val="99"/>
    <w:unhideWhenUsed/>
    <w:rsid w:val="0027120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27120F"/>
    <w:rPr>
      <w:color w:val="0000FF"/>
      <w:u w:val="single"/>
    </w:rPr>
  </w:style>
  <w:style w:type="character" w:customStyle="1" w:styleId="hgkelc">
    <w:name w:val="hgkelc"/>
    <w:basedOn w:val="Domylnaczcionkaakapitu"/>
    <w:rsid w:val="00E3719E"/>
  </w:style>
  <w:style w:type="character" w:styleId="Pogrubienie">
    <w:name w:val="Strong"/>
    <w:basedOn w:val="Domylnaczcionkaakapitu"/>
    <w:uiPriority w:val="22"/>
    <w:qFormat/>
    <w:rsid w:val="004C4395"/>
    <w:rPr>
      <w:b/>
      <w:bCs/>
    </w:rPr>
  </w:style>
  <w:style w:type="paragraph" w:styleId="Bezodstpw">
    <w:name w:val="No Spacing"/>
    <w:uiPriority w:val="1"/>
    <w:qFormat/>
    <w:rsid w:val="00F27BE9"/>
    <w:pPr>
      <w:spacing w:after="0" w:line="240" w:lineRule="auto"/>
    </w:pPr>
  </w:style>
  <w:style w:type="paragraph" w:customStyle="1" w:styleId="Textbody">
    <w:name w:val="Text body"/>
    <w:basedOn w:val="Normalny"/>
    <w:rsid w:val="00571D71"/>
    <w:pPr>
      <w:widowControl w:val="0"/>
      <w:suppressAutoHyphens/>
      <w:autoSpaceDN w:val="0"/>
      <w:spacing w:after="120" w:line="240" w:lineRule="auto"/>
    </w:pPr>
    <w:rPr>
      <w:rFonts w:ascii="Times New Roman" w:eastAsia="Lucida Sans Unicode" w:hAnsi="Times New Roman" w:cs="Mangal"/>
      <w:kern w:val="3"/>
      <w:sz w:val="24"/>
      <w:szCs w:val="24"/>
      <w:lang w:eastAsia="zh-CN" w:bidi="hi-IN"/>
    </w:rPr>
  </w:style>
  <w:style w:type="paragraph" w:styleId="Akapitzlist">
    <w:name w:val="List Paragraph"/>
    <w:basedOn w:val="Normalny"/>
    <w:uiPriority w:val="34"/>
    <w:qFormat/>
    <w:rsid w:val="00D75392"/>
    <w:pPr>
      <w:spacing w:after="0" w:line="240" w:lineRule="auto"/>
      <w:ind w:left="720"/>
      <w:contextualSpacing/>
    </w:pPr>
    <w:rPr>
      <w:rFonts w:ascii="Calibri" w:hAnsi="Calibri" w:cs="Calibri"/>
      <w:lang w:eastAsia="pl-PL"/>
    </w:rPr>
  </w:style>
  <w:style w:type="character" w:styleId="Uwydatnienie">
    <w:name w:val="Emphasis"/>
    <w:basedOn w:val="Domylnaczcionkaakapitu"/>
    <w:uiPriority w:val="20"/>
    <w:qFormat/>
    <w:rsid w:val="000E427E"/>
    <w:rPr>
      <w:i/>
      <w:iCs/>
    </w:rPr>
  </w:style>
  <w:style w:type="paragraph" w:customStyle="1" w:styleId="Domylnie">
    <w:name w:val="Domy?lnie"/>
    <w:uiPriority w:val="99"/>
    <w:unhideWhenUsed/>
    <w:rsid w:val="00222C72"/>
    <w:pPr>
      <w:widowControl w:val="0"/>
      <w:autoSpaceDE w:val="0"/>
      <w:autoSpaceDN w:val="0"/>
      <w:adjustRightInd w:val="0"/>
      <w:spacing w:after="0" w:line="240" w:lineRule="auto"/>
    </w:pPr>
    <w:rPr>
      <w:rFonts w:ascii="Times New Roman" w:eastAsia="SimSu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3E2BB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E2BB2"/>
    <w:rPr>
      <w:sz w:val="20"/>
      <w:szCs w:val="20"/>
    </w:rPr>
  </w:style>
  <w:style w:type="character" w:styleId="Odwoanieprzypisukocowego">
    <w:name w:val="endnote reference"/>
    <w:basedOn w:val="Domylnaczcionkaakapitu"/>
    <w:uiPriority w:val="99"/>
    <w:semiHidden/>
    <w:unhideWhenUsed/>
    <w:rsid w:val="003E2BB2"/>
    <w:rPr>
      <w:vertAlign w:val="superscript"/>
    </w:rPr>
  </w:style>
  <w:style w:type="character" w:customStyle="1" w:styleId="xxxelementtoproof">
    <w:name w:val="x_x_xelementtoproof"/>
    <w:basedOn w:val="Domylnaczcionkaakapitu"/>
    <w:rsid w:val="004A0DB1"/>
  </w:style>
  <w:style w:type="character" w:styleId="Nierozpoznanawzmianka">
    <w:name w:val="Unresolved Mention"/>
    <w:basedOn w:val="Domylnaczcionkaakapitu"/>
    <w:uiPriority w:val="99"/>
    <w:semiHidden/>
    <w:unhideWhenUsed/>
    <w:rsid w:val="00600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8793">
      <w:bodyDiv w:val="1"/>
      <w:marLeft w:val="0"/>
      <w:marRight w:val="0"/>
      <w:marTop w:val="0"/>
      <w:marBottom w:val="0"/>
      <w:divBdr>
        <w:top w:val="none" w:sz="0" w:space="0" w:color="auto"/>
        <w:left w:val="none" w:sz="0" w:space="0" w:color="auto"/>
        <w:bottom w:val="none" w:sz="0" w:space="0" w:color="auto"/>
        <w:right w:val="none" w:sz="0" w:space="0" w:color="auto"/>
      </w:divBdr>
    </w:div>
    <w:div w:id="268390580">
      <w:bodyDiv w:val="1"/>
      <w:marLeft w:val="0"/>
      <w:marRight w:val="0"/>
      <w:marTop w:val="0"/>
      <w:marBottom w:val="0"/>
      <w:divBdr>
        <w:top w:val="none" w:sz="0" w:space="0" w:color="auto"/>
        <w:left w:val="none" w:sz="0" w:space="0" w:color="auto"/>
        <w:bottom w:val="none" w:sz="0" w:space="0" w:color="auto"/>
        <w:right w:val="none" w:sz="0" w:space="0" w:color="auto"/>
      </w:divBdr>
    </w:div>
    <w:div w:id="347290992">
      <w:bodyDiv w:val="1"/>
      <w:marLeft w:val="0"/>
      <w:marRight w:val="0"/>
      <w:marTop w:val="0"/>
      <w:marBottom w:val="0"/>
      <w:divBdr>
        <w:top w:val="none" w:sz="0" w:space="0" w:color="auto"/>
        <w:left w:val="none" w:sz="0" w:space="0" w:color="auto"/>
        <w:bottom w:val="none" w:sz="0" w:space="0" w:color="auto"/>
        <w:right w:val="none" w:sz="0" w:space="0" w:color="auto"/>
      </w:divBdr>
      <w:divsChild>
        <w:div w:id="1339887090">
          <w:marLeft w:val="0"/>
          <w:marRight w:val="0"/>
          <w:marTop w:val="0"/>
          <w:marBottom w:val="0"/>
          <w:divBdr>
            <w:top w:val="none" w:sz="0" w:space="0" w:color="auto"/>
            <w:left w:val="none" w:sz="0" w:space="0" w:color="auto"/>
            <w:bottom w:val="none" w:sz="0" w:space="0" w:color="auto"/>
            <w:right w:val="none" w:sz="0" w:space="0" w:color="auto"/>
          </w:divBdr>
        </w:div>
      </w:divsChild>
    </w:div>
    <w:div w:id="393554164">
      <w:bodyDiv w:val="1"/>
      <w:marLeft w:val="0"/>
      <w:marRight w:val="0"/>
      <w:marTop w:val="0"/>
      <w:marBottom w:val="0"/>
      <w:divBdr>
        <w:top w:val="none" w:sz="0" w:space="0" w:color="auto"/>
        <w:left w:val="none" w:sz="0" w:space="0" w:color="auto"/>
        <w:bottom w:val="none" w:sz="0" w:space="0" w:color="auto"/>
        <w:right w:val="none" w:sz="0" w:space="0" w:color="auto"/>
      </w:divBdr>
    </w:div>
    <w:div w:id="440498013">
      <w:bodyDiv w:val="1"/>
      <w:marLeft w:val="0"/>
      <w:marRight w:val="0"/>
      <w:marTop w:val="0"/>
      <w:marBottom w:val="0"/>
      <w:divBdr>
        <w:top w:val="none" w:sz="0" w:space="0" w:color="auto"/>
        <w:left w:val="none" w:sz="0" w:space="0" w:color="auto"/>
        <w:bottom w:val="none" w:sz="0" w:space="0" w:color="auto"/>
        <w:right w:val="none" w:sz="0" w:space="0" w:color="auto"/>
      </w:divBdr>
    </w:div>
    <w:div w:id="516701629">
      <w:bodyDiv w:val="1"/>
      <w:marLeft w:val="0"/>
      <w:marRight w:val="0"/>
      <w:marTop w:val="0"/>
      <w:marBottom w:val="0"/>
      <w:divBdr>
        <w:top w:val="none" w:sz="0" w:space="0" w:color="auto"/>
        <w:left w:val="none" w:sz="0" w:space="0" w:color="auto"/>
        <w:bottom w:val="none" w:sz="0" w:space="0" w:color="auto"/>
        <w:right w:val="none" w:sz="0" w:space="0" w:color="auto"/>
      </w:divBdr>
    </w:div>
    <w:div w:id="558326127">
      <w:bodyDiv w:val="1"/>
      <w:marLeft w:val="0"/>
      <w:marRight w:val="0"/>
      <w:marTop w:val="0"/>
      <w:marBottom w:val="0"/>
      <w:divBdr>
        <w:top w:val="none" w:sz="0" w:space="0" w:color="auto"/>
        <w:left w:val="none" w:sz="0" w:space="0" w:color="auto"/>
        <w:bottom w:val="none" w:sz="0" w:space="0" w:color="auto"/>
        <w:right w:val="none" w:sz="0" w:space="0" w:color="auto"/>
      </w:divBdr>
    </w:div>
    <w:div w:id="569343889">
      <w:bodyDiv w:val="1"/>
      <w:marLeft w:val="0"/>
      <w:marRight w:val="0"/>
      <w:marTop w:val="0"/>
      <w:marBottom w:val="0"/>
      <w:divBdr>
        <w:top w:val="none" w:sz="0" w:space="0" w:color="auto"/>
        <w:left w:val="none" w:sz="0" w:space="0" w:color="auto"/>
        <w:bottom w:val="none" w:sz="0" w:space="0" w:color="auto"/>
        <w:right w:val="none" w:sz="0" w:space="0" w:color="auto"/>
      </w:divBdr>
    </w:div>
    <w:div w:id="603079339">
      <w:bodyDiv w:val="1"/>
      <w:marLeft w:val="0"/>
      <w:marRight w:val="0"/>
      <w:marTop w:val="0"/>
      <w:marBottom w:val="0"/>
      <w:divBdr>
        <w:top w:val="none" w:sz="0" w:space="0" w:color="auto"/>
        <w:left w:val="none" w:sz="0" w:space="0" w:color="auto"/>
        <w:bottom w:val="none" w:sz="0" w:space="0" w:color="auto"/>
        <w:right w:val="none" w:sz="0" w:space="0" w:color="auto"/>
      </w:divBdr>
    </w:div>
    <w:div w:id="621573495">
      <w:bodyDiv w:val="1"/>
      <w:marLeft w:val="0"/>
      <w:marRight w:val="0"/>
      <w:marTop w:val="0"/>
      <w:marBottom w:val="0"/>
      <w:divBdr>
        <w:top w:val="none" w:sz="0" w:space="0" w:color="auto"/>
        <w:left w:val="none" w:sz="0" w:space="0" w:color="auto"/>
        <w:bottom w:val="none" w:sz="0" w:space="0" w:color="auto"/>
        <w:right w:val="none" w:sz="0" w:space="0" w:color="auto"/>
      </w:divBdr>
    </w:div>
    <w:div w:id="760377068">
      <w:bodyDiv w:val="1"/>
      <w:marLeft w:val="0"/>
      <w:marRight w:val="0"/>
      <w:marTop w:val="0"/>
      <w:marBottom w:val="0"/>
      <w:divBdr>
        <w:top w:val="none" w:sz="0" w:space="0" w:color="auto"/>
        <w:left w:val="none" w:sz="0" w:space="0" w:color="auto"/>
        <w:bottom w:val="none" w:sz="0" w:space="0" w:color="auto"/>
        <w:right w:val="none" w:sz="0" w:space="0" w:color="auto"/>
      </w:divBdr>
    </w:div>
    <w:div w:id="764689774">
      <w:bodyDiv w:val="1"/>
      <w:marLeft w:val="0"/>
      <w:marRight w:val="0"/>
      <w:marTop w:val="0"/>
      <w:marBottom w:val="0"/>
      <w:divBdr>
        <w:top w:val="none" w:sz="0" w:space="0" w:color="auto"/>
        <w:left w:val="none" w:sz="0" w:space="0" w:color="auto"/>
        <w:bottom w:val="none" w:sz="0" w:space="0" w:color="auto"/>
        <w:right w:val="none" w:sz="0" w:space="0" w:color="auto"/>
      </w:divBdr>
    </w:div>
    <w:div w:id="893547580">
      <w:bodyDiv w:val="1"/>
      <w:marLeft w:val="0"/>
      <w:marRight w:val="0"/>
      <w:marTop w:val="0"/>
      <w:marBottom w:val="0"/>
      <w:divBdr>
        <w:top w:val="none" w:sz="0" w:space="0" w:color="auto"/>
        <w:left w:val="none" w:sz="0" w:space="0" w:color="auto"/>
        <w:bottom w:val="none" w:sz="0" w:space="0" w:color="auto"/>
        <w:right w:val="none" w:sz="0" w:space="0" w:color="auto"/>
      </w:divBdr>
    </w:div>
    <w:div w:id="914780853">
      <w:bodyDiv w:val="1"/>
      <w:marLeft w:val="0"/>
      <w:marRight w:val="0"/>
      <w:marTop w:val="0"/>
      <w:marBottom w:val="0"/>
      <w:divBdr>
        <w:top w:val="none" w:sz="0" w:space="0" w:color="auto"/>
        <w:left w:val="none" w:sz="0" w:space="0" w:color="auto"/>
        <w:bottom w:val="none" w:sz="0" w:space="0" w:color="auto"/>
        <w:right w:val="none" w:sz="0" w:space="0" w:color="auto"/>
      </w:divBdr>
    </w:div>
    <w:div w:id="1184631971">
      <w:bodyDiv w:val="1"/>
      <w:marLeft w:val="0"/>
      <w:marRight w:val="0"/>
      <w:marTop w:val="0"/>
      <w:marBottom w:val="0"/>
      <w:divBdr>
        <w:top w:val="none" w:sz="0" w:space="0" w:color="auto"/>
        <w:left w:val="none" w:sz="0" w:space="0" w:color="auto"/>
        <w:bottom w:val="none" w:sz="0" w:space="0" w:color="auto"/>
        <w:right w:val="none" w:sz="0" w:space="0" w:color="auto"/>
      </w:divBdr>
    </w:div>
    <w:div w:id="1260481873">
      <w:bodyDiv w:val="1"/>
      <w:marLeft w:val="0"/>
      <w:marRight w:val="0"/>
      <w:marTop w:val="0"/>
      <w:marBottom w:val="0"/>
      <w:divBdr>
        <w:top w:val="none" w:sz="0" w:space="0" w:color="auto"/>
        <w:left w:val="none" w:sz="0" w:space="0" w:color="auto"/>
        <w:bottom w:val="none" w:sz="0" w:space="0" w:color="auto"/>
        <w:right w:val="none" w:sz="0" w:space="0" w:color="auto"/>
      </w:divBdr>
    </w:div>
    <w:div w:id="1309018259">
      <w:bodyDiv w:val="1"/>
      <w:marLeft w:val="0"/>
      <w:marRight w:val="0"/>
      <w:marTop w:val="0"/>
      <w:marBottom w:val="0"/>
      <w:divBdr>
        <w:top w:val="none" w:sz="0" w:space="0" w:color="auto"/>
        <w:left w:val="none" w:sz="0" w:space="0" w:color="auto"/>
        <w:bottom w:val="none" w:sz="0" w:space="0" w:color="auto"/>
        <w:right w:val="none" w:sz="0" w:space="0" w:color="auto"/>
      </w:divBdr>
    </w:div>
    <w:div w:id="1369719761">
      <w:bodyDiv w:val="1"/>
      <w:marLeft w:val="0"/>
      <w:marRight w:val="0"/>
      <w:marTop w:val="0"/>
      <w:marBottom w:val="0"/>
      <w:divBdr>
        <w:top w:val="none" w:sz="0" w:space="0" w:color="auto"/>
        <w:left w:val="none" w:sz="0" w:space="0" w:color="auto"/>
        <w:bottom w:val="none" w:sz="0" w:space="0" w:color="auto"/>
        <w:right w:val="none" w:sz="0" w:space="0" w:color="auto"/>
      </w:divBdr>
    </w:div>
    <w:div w:id="1690832158">
      <w:bodyDiv w:val="1"/>
      <w:marLeft w:val="0"/>
      <w:marRight w:val="0"/>
      <w:marTop w:val="0"/>
      <w:marBottom w:val="0"/>
      <w:divBdr>
        <w:top w:val="none" w:sz="0" w:space="0" w:color="auto"/>
        <w:left w:val="none" w:sz="0" w:space="0" w:color="auto"/>
        <w:bottom w:val="none" w:sz="0" w:space="0" w:color="auto"/>
        <w:right w:val="none" w:sz="0" w:space="0" w:color="auto"/>
      </w:divBdr>
    </w:div>
    <w:div w:id="213012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gdata.rynekpierwotny.pl/"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5A948-74EE-46C4-AA71-52FAB671F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861</Words>
  <Characters>5170</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Kazimierczak</dc:creator>
  <cp:keywords/>
  <dc:description/>
  <cp:lastModifiedBy>Mikołaj Ostrowski</cp:lastModifiedBy>
  <cp:revision>49</cp:revision>
  <cp:lastPrinted>2023-07-05T08:38:00Z</cp:lastPrinted>
  <dcterms:created xsi:type="dcterms:W3CDTF">2024-01-29T13:29:00Z</dcterms:created>
  <dcterms:modified xsi:type="dcterms:W3CDTF">2024-01-30T09:23:00Z</dcterms:modified>
</cp:coreProperties>
</file>